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67249">
      <w:pPr>
        <w:snapToGrid w:val="0"/>
        <w:spacing w:line="560" w:lineRule="exact"/>
        <w:jc w:val="center"/>
        <w:rPr>
          <w:rFonts w:eastAsia="黑体" w:cs="黑体"/>
          <w:b/>
          <w:bCs/>
          <w:sz w:val="36"/>
          <w:szCs w:val="32"/>
        </w:rPr>
      </w:pPr>
      <w:r>
        <w:rPr>
          <w:rFonts w:hint="eastAsia" w:eastAsia="黑体" w:cs="黑体"/>
          <w:b/>
          <w:bCs/>
          <w:sz w:val="36"/>
          <w:szCs w:val="32"/>
        </w:rPr>
        <w:t>赫特福德学院/国际交流学院</w:t>
      </w:r>
    </w:p>
    <w:p w14:paraId="76408C3C">
      <w:pPr>
        <w:snapToGrid w:val="0"/>
        <w:spacing w:after="156" w:afterLines="50" w:line="560" w:lineRule="exact"/>
        <w:jc w:val="center"/>
        <w:rPr>
          <w:rFonts w:eastAsia="黑体" w:cs="黑体"/>
          <w:b/>
          <w:bCs/>
          <w:sz w:val="36"/>
          <w:szCs w:val="32"/>
        </w:rPr>
      </w:pPr>
      <w:r>
        <w:rPr>
          <w:rFonts w:hint="eastAsia" w:eastAsia="黑体" w:cs="黑体"/>
          <w:b/>
          <w:bCs/>
          <w:sz w:val="36"/>
          <w:szCs w:val="32"/>
          <w:lang w:eastAsia="zh-CN"/>
        </w:rPr>
        <w:t>2026</w:t>
      </w:r>
      <w:r>
        <w:rPr>
          <w:rFonts w:hint="eastAsia" w:eastAsia="黑体" w:cs="黑体"/>
          <w:b/>
          <w:bCs/>
          <w:sz w:val="36"/>
          <w:szCs w:val="32"/>
        </w:rPr>
        <w:t>年度主要工作目标责任书</w:t>
      </w:r>
    </w:p>
    <w:p w14:paraId="17183B2B">
      <w:pPr>
        <w:snapToGrid w:val="0"/>
        <w:spacing w:after="156" w:afterLines="50" w:line="400" w:lineRule="exact"/>
        <w:ind w:firstLine="480" w:firstLineChars="200"/>
        <w:rPr>
          <w:rFonts w:hint="eastAsia"/>
          <w:sz w:val="24"/>
        </w:rPr>
      </w:pPr>
      <w:r>
        <w:rPr>
          <w:rFonts w:hint="eastAsia"/>
          <w:sz w:val="24"/>
        </w:rPr>
        <w:t>根据学校</w:t>
      </w:r>
      <w:r>
        <w:rPr>
          <w:rFonts w:hint="eastAsia"/>
          <w:sz w:val="24"/>
          <w:lang w:eastAsia="zh-CN"/>
        </w:rPr>
        <w:t>2026</w:t>
      </w:r>
      <w:r>
        <w:rPr>
          <w:rFonts w:hint="eastAsia"/>
          <w:sz w:val="24"/>
        </w:rPr>
        <w:t>年学校总的目标任务，现下达赫特福德学院/国际交流学院</w:t>
      </w:r>
      <w:r>
        <w:rPr>
          <w:rFonts w:hint="eastAsia"/>
          <w:sz w:val="24"/>
          <w:lang w:eastAsia="zh-CN"/>
        </w:rPr>
        <w:t>2026</w:t>
      </w:r>
      <w:r>
        <w:rPr>
          <w:rFonts w:hint="eastAsia"/>
          <w:sz w:val="24"/>
        </w:rPr>
        <w:t>年度主要工作目标任务如下：</w:t>
      </w:r>
    </w:p>
    <w:tbl>
      <w:tblPr>
        <w:tblStyle w:val="8"/>
        <w:tblW w:w="104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130"/>
        <w:gridCol w:w="6093"/>
        <w:gridCol w:w="1023"/>
      </w:tblGrid>
      <w:tr w14:paraId="502443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222" w:type="dxa"/>
            <w:vAlign w:val="center"/>
          </w:tcPr>
          <w:p w14:paraId="7502E405">
            <w:pPr>
              <w:spacing w:line="240" w:lineRule="atLeast"/>
              <w:jc w:val="center"/>
              <w:rPr>
                <w:b/>
              </w:rPr>
            </w:pPr>
            <w:r>
              <w:rPr>
                <w:rFonts w:hint="eastAsia" w:cs="宋体"/>
                <w:b/>
              </w:rPr>
              <w:t>工作类别</w:t>
            </w:r>
          </w:p>
        </w:tc>
        <w:tc>
          <w:tcPr>
            <w:tcW w:w="2130" w:type="dxa"/>
            <w:vAlign w:val="center"/>
          </w:tcPr>
          <w:p w14:paraId="6CBE3407">
            <w:pPr>
              <w:spacing w:line="240" w:lineRule="atLeast"/>
              <w:jc w:val="center"/>
            </w:pPr>
            <w:r>
              <w:rPr>
                <w:rFonts w:hint="eastAsia" w:cs="宋体"/>
                <w:b/>
              </w:rPr>
              <w:t>具体内容</w:t>
            </w:r>
          </w:p>
        </w:tc>
        <w:tc>
          <w:tcPr>
            <w:tcW w:w="6093" w:type="dxa"/>
            <w:vAlign w:val="center"/>
          </w:tcPr>
          <w:p w14:paraId="63555AC7">
            <w:pPr>
              <w:spacing w:line="240" w:lineRule="atLeast"/>
              <w:jc w:val="center"/>
            </w:pPr>
            <w:r>
              <w:rPr>
                <w:rFonts w:hint="eastAsia" w:cs="宋体"/>
                <w:b/>
              </w:rPr>
              <w:t>指标和任务</w:t>
            </w:r>
          </w:p>
        </w:tc>
        <w:tc>
          <w:tcPr>
            <w:tcW w:w="1023" w:type="dxa"/>
            <w:vAlign w:val="center"/>
          </w:tcPr>
          <w:p w14:paraId="51A0C42B">
            <w:pPr>
              <w:spacing w:line="240" w:lineRule="atLeast"/>
              <w:jc w:val="center"/>
            </w:pPr>
            <w:r>
              <w:rPr>
                <w:rFonts w:hint="eastAsia" w:cs="宋体"/>
                <w:b/>
              </w:rPr>
              <w:t>备注</w:t>
            </w:r>
          </w:p>
        </w:tc>
      </w:tr>
      <w:tr w14:paraId="0009A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222" w:type="dxa"/>
            <w:vMerge w:val="restart"/>
            <w:shd w:val="clear" w:color="auto" w:fill="auto"/>
            <w:vAlign w:val="center"/>
          </w:tcPr>
          <w:p w14:paraId="75F45B51">
            <w:pPr>
              <w:spacing w:line="240" w:lineRule="atLeast"/>
              <w:jc w:val="center"/>
              <w:rPr>
                <w:b/>
              </w:rPr>
            </w:pPr>
            <w:r>
              <w:rPr>
                <w:rFonts w:hint="eastAsia" w:cs="宋体"/>
                <w:b/>
              </w:rPr>
              <w:t>一、赫特福德学院建设</w:t>
            </w:r>
            <w:r>
              <w:rPr>
                <w:rFonts w:hint="eastAsia" w:cs="宋体"/>
                <w:b/>
                <w:color w:val="FF0000"/>
              </w:rPr>
              <w:t>（赫特福德学院）</w:t>
            </w:r>
          </w:p>
        </w:tc>
        <w:tc>
          <w:tcPr>
            <w:tcW w:w="2130" w:type="dxa"/>
            <w:vAlign w:val="center"/>
          </w:tcPr>
          <w:p w14:paraId="4DB175F3">
            <w:pPr>
              <w:spacing w:line="300" w:lineRule="exact"/>
              <w:jc w:val="center"/>
              <w:rPr>
                <w:rFonts w:cs="宋体"/>
                <w:kern w:val="0"/>
              </w:rPr>
            </w:pPr>
          </w:p>
        </w:tc>
        <w:tc>
          <w:tcPr>
            <w:tcW w:w="6093" w:type="dxa"/>
            <w:vAlign w:val="center"/>
          </w:tcPr>
          <w:p w14:paraId="0482D212">
            <w:pPr>
              <w:spacing w:line="240" w:lineRule="atLeast"/>
              <w:ind w:left="105" w:leftChars="50"/>
              <w:rPr>
                <w:rFonts w:cs="宋体"/>
                <w:sz w:val="21"/>
                <w:szCs w:val="21"/>
              </w:rPr>
            </w:pPr>
          </w:p>
        </w:tc>
        <w:tc>
          <w:tcPr>
            <w:tcW w:w="1023" w:type="dxa"/>
            <w:vAlign w:val="center"/>
          </w:tcPr>
          <w:p w14:paraId="321B5938">
            <w:pPr>
              <w:spacing w:line="240" w:lineRule="atLeast"/>
              <w:rPr>
                <w:rFonts w:cs="宋体"/>
                <w:color w:val="000000"/>
              </w:rPr>
            </w:pPr>
          </w:p>
        </w:tc>
      </w:tr>
      <w:tr w14:paraId="18CC1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222" w:type="dxa"/>
            <w:vMerge w:val="continue"/>
            <w:shd w:val="clear" w:color="auto" w:fill="auto"/>
            <w:vAlign w:val="center"/>
          </w:tcPr>
          <w:p w14:paraId="582BBDE0">
            <w:pPr>
              <w:snapToGrid w:val="0"/>
              <w:spacing w:line="240" w:lineRule="atLeast"/>
              <w:jc w:val="center"/>
              <w:rPr>
                <w:rFonts w:cs="宋体"/>
                <w:b/>
              </w:rPr>
            </w:pPr>
          </w:p>
        </w:tc>
        <w:tc>
          <w:tcPr>
            <w:tcW w:w="2130" w:type="dxa"/>
            <w:vAlign w:val="center"/>
          </w:tcPr>
          <w:p w14:paraId="162A8C73">
            <w:pPr>
              <w:widowControl/>
              <w:spacing w:line="300" w:lineRule="exact"/>
              <w:jc w:val="center"/>
              <w:rPr>
                <w:color w:val="000000"/>
              </w:rPr>
            </w:pPr>
          </w:p>
        </w:tc>
        <w:tc>
          <w:tcPr>
            <w:tcW w:w="6093" w:type="dxa"/>
            <w:vAlign w:val="center"/>
          </w:tcPr>
          <w:p w14:paraId="138B5D84">
            <w:pPr>
              <w:spacing w:line="240" w:lineRule="atLeast"/>
              <w:ind w:left="105" w:leftChars="50"/>
              <w:rPr>
                <w:rFonts w:cs="宋体"/>
                <w:sz w:val="21"/>
                <w:szCs w:val="21"/>
              </w:rPr>
            </w:pPr>
          </w:p>
        </w:tc>
        <w:tc>
          <w:tcPr>
            <w:tcW w:w="1023" w:type="dxa"/>
            <w:vAlign w:val="center"/>
          </w:tcPr>
          <w:p w14:paraId="37D8612A">
            <w:pPr>
              <w:snapToGrid w:val="0"/>
              <w:spacing w:line="280" w:lineRule="exact"/>
              <w:rPr>
                <w:rFonts w:cs="宋体"/>
                <w:color w:val="000000"/>
                <w:sz w:val="16"/>
                <w:szCs w:val="15"/>
              </w:rPr>
            </w:pPr>
          </w:p>
        </w:tc>
      </w:tr>
      <w:tr w14:paraId="3A02A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222" w:type="dxa"/>
            <w:vMerge w:val="continue"/>
            <w:shd w:val="clear" w:color="auto" w:fill="auto"/>
            <w:vAlign w:val="center"/>
          </w:tcPr>
          <w:p w14:paraId="4D66E987">
            <w:pPr>
              <w:snapToGrid w:val="0"/>
              <w:spacing w:line="240" w:lineRule="atLeast"/>
              <w:jc w:val="center"/>
              <w:rPr>
                <w:rFonts w:cs="宋体"/>
                <w:b/>
              </w:rPr>
            </w:pPr>
          </w:p>
        </w:tc>
        <w:tc>
          <w:tcPr>
            <w:tcW w:w="2130" w:type="dxa"/>
            <w:vAlign w:val="center"/>
          </w:tcPr>
          <w:p w14:paraId="6F6F531D">
            <w:pPr>
              <w:widowControl/>
              <w:spacing w:line="300" w:lineRule="exact"/>
              <w:jc w:val="center"/>
              <w:rPr>
                <w:color w:val="000000"/>
              </w:rPr>
            </w:pPr>
          </w:p>
        </w:tc>
        <w:tc>
          <w:tcPr>
            <w:tcW w:w="6093" w:type="dxa"/>
            <w:vAlign w:val="center"/>
          </w:tcPr>
          <w:p w14:paraId="50A128A1">
            <w:pPr>
              <w:spacing w:line="240" w:lineRule="atLeast"/>
              <w:ind w:left="105" w:leftChars="50"/>
              <w:rPr>
                <w:rFonts w:cs="宋体"/>
                <w:sz w:val="21"/>
                <w:szCs w:val="21"/>
              </w:rPr>
            </w:pPr>
          </w:p>
        </w:tc>
        <w:tc>
          <w:tcPr>
            <w:tcW w:w="1023" w:type="dxa"/>
            <w:vAlign w:val="center"/>
          </w:tcPr>
          <w:p w14:paraId="4E4AFC55">
            <w:pPr>
              <w:snapToGrid w:val="0"/>
              <w:spacing w:line="280" w:lineRule="exact"/>
              <w:rPr>
                <w:rFonts w:cs="宋体"/>
                <w:color w:val="000000"/>
                <w:sz w:val="16"/>
                <w:szCs w:val="15"/>
              </w:rPr>
            </w:pPr>
          </w:p>
        </w:tc>
      </w:tr>
      <w:tr w14:paraId="1D031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1222" w:type="dxa"/>
            <w:vMerge w:val="restart"/>
            <w:shd w:val="clear" w:color="auto" w:fill="auto"/>
            <w:vAlign w:val="center"/>
          </w:tcPr>
          <w:p w14:paraId="41854D28">
            <w:pPr>
              <w:spacing w:line="240" w:lineRule="atLeast"/>
              <w:jc w:val="center"/>
              <w:rPr>
                <w:b/>
              </w:rPr>
            </w:pPr>
            <w:r>
              <w:rPr>
                <w:rFonts w:hint="eastAsia"/>
                <w:b/>
              </w:rPr>
              <w:t>二、来华留学生教育</w:t>
            </w:r>
            <w:r>
              <w:rPr>
                <w:rFonts w:hint="eastAsia"/>
                <w:b/>
                <w:color w:val="FF0000"/>
              </w:rPr>
              <w:t>（</w:t>
            </w:r>
            <w:r>
              <w:rPr>
                <w:rFonts w:hint="eastAsia"/>
                <w:b/>
                <w:color w:val="FF0000"/>
                <w:lang w:eastAsia="zh-CN"/>
              </w:rPr>
              <w:t>国际交流学院</w:t>
            </w:r>
            <w:r>
              <w:rPr>
                <w:rFonts w:hint="eastAsia"/>
                <w:b/>
                <w:color w:val="FF0000"/>
              </w:rPr>
              <w:t>）</w:t>
            </w:r>
          </w:p>
        </w:tc>
        <w:tc>
          <w:tcPr>
            <w:tcW w:w="2130" w:type="dxa"/>
            <w:vAlign w:val="center"/>
          </w:tcPr>
          <w:p w14:paraId="560170E8">
            <w:pPr>
              <w:spacing w:line="300" w:lineRule="exact"/>
              <w:jc w:val="center"/>
            </w:pPr>
            <w:r>
              <w:rPr>
                <w:rFonts w:hint="eastAsia" w:cs="宋体"/>
                <w:kern w:val="0"/>
              </w:rPr>
              <w:t>1.代表学校扎口管理来华留学生工作</w:t>
            </w:r>
          </w:p>
        </w:tc>
        <w:tc>
          <w:tcPr>
            <w:tcW w:w="6093" w:type="dxa"/>
            <w:vAlign w:val="center"/>
          </w:tcPr>
          <w:p w14:paraId="148E31C1">
            <w:pPr>
              <w:spacing w:line="240" w:lineRule="atLeast"/>
              <w:ind w:left="105" w:leftChars="50"/>
              <w:rPr>
                <w:sz w:val="21"/>
                <w:szCs w:val="21"/>
              </w:rPr>
            </w:pPr>
            <w:r>
              <w:rPr>
                <w:rFonts w:hint="eastAsia" w:cs="宋体"/>
                <w:sz w:val="21"/>
                <w:szCs w:val="21"/>
              </w:rPr>
              <w:t>管理、服务、协调全校来华留学生教育。</w:t>
            </w:r>
          </w:p>
        </w:tc>
        <w:tc>
          <w:tcPr>
            <w:tcW w:w="1023" w:type="dxa"/>
            <w:vAlign w:val="center"/>
          </w:tcPr>
          <w:p w14:paraId="5CD81A8C">
            <w:pPr>
              <w:snapToGrid w:val="0"/>
              <w:spacing w:line="240" w:lineRule="atLeast"/>
              <w:rPr>
                <w:rFonts w:cs="宋体"/>
                <w:kern w:val="0"/>
                <w:sz w:val="15"/>
                <w:szCs w:val="15"/>
              </w:rPr>
            </w:pPr>
          </w:p>
        </w:tc>
      </w:tr>
      <w:tr w14:paraId="7158A5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08" w:hRule="atLeast"/>
          <w:jc w:val="center"/>
        </w:trPr>
        <w:tc>
          <w:tcPr>
            <w:tcW w:w="1222" w:type="dxa"/>
            <w:vMerge w:val="continue"/>
            <w:shd w:val="clear" w:color="auto" w:fill="auto"/>
            <w:vAlign w:val="center"/>
          </w:tcPr>
          <w:p w14:paraId="0069E6AE">
            <w:pPr>
              <w:spacing w:line="240" w:lineRule="atLeast"/>
              <w:jc w:val="center"/>
              <w:rPr>
                <w:rFonts w:cs="宋体"/>
                <w:b/>
              </w:rPr>
            </w:pPr>
          </w:p>
        </w:tc>
        <w:tc>
          <w:tcPr>
            <w:tcW w:w="2130" w:type="dxa"/>
            <w:vAlign w:val="center"/>
          </w:tcPr>
          <w:p w14:paraId="57720D46">
            <w:pPr>
              <w:spacing w:line="300" w:lineRule="exact"/>
              <w:jc w:val="center"/>
              <w:rPr>
                <w:rFonts w:cs="宋体"/>
                <w:kern w:val="0"/>
              </w:rPr>
            </w:pPr>
            <w:r>
              <w:rPr>
                <w:rFonts w:hint="eastAsia" w:cs="宋体"/>
                <w:kern w:val="0"/>
              </w:rPr>
              <w:t>2.留学生招生</w:t>
            </w:r>
          </w:p>
        </w:tc>
        <w:tc>
          <w:tcPr>
            <w:tcW w:w="6093" w:type="dxa"/>
            <w:vAlign w:val="center"/>
          </w:tcPr>
          <w:p w14:paraId="54612AEF">
            <w:pPr>
              <w:spacing w:line="240" w:lineRule="atLeast"/>
              <w:ind w:left="105" w:leftChars="50"/>
              <w:rPr>
                <w:rFonts w:cs="宋体"/>
                <w:kern w:val="0"/>
                <w:sz w:val="21"/>
                <w:szCs w:val="21"/>
              </w:rPr>
            </w:pPr>
            <w:r>
              <w:rPr>
                <w:rFonts w:hint="eastAsia"/>
                <w:sz w:val="21"/>
                <w:szCs w:val="21"/>
              </w:rPr>
              <w:t>拓展留学生招生渠道，编制留学生招生简章，规范有序完成</w:t>
            </w:r>
            <w:r>
              <w:rPr>
                <w:rFonts w:hint="eastAsia"/>
                <w:sz w:val="21"/>
                <w:szCs w:val="21"/>
                <w:lang w:eastAsia="zh-CN"/>
              </w:rPr>
              <w:t>2026</w:t>
            </w:r>
            <w:r>
              <w:rPr>
                <w:rFonts w:hint="eastAsia"/>
                <w:sz w:val="21"/>
                <w:szCs w:val="21"/>
              </w:rPr>
              <w:t>年各类留学生招生工作。聚焦国家、省对外交流重点领域，推进中外（中欧）青年人文交流项目。</w:t>
            </w:r>
          </w:p>
        </w:tc>
        <w:tc>
          <w:tcPr>
            <w:tcW w:w="1023" w:type="dxa"/>
            <w:vAlign w:val="center"/>
          </w:tcPr>
          <w:p w14:paraId="6195EFBB">
            <w:pPr>
              <w:snapToGrid w:val="0"/>
              <w:spacing w:line="240" w:lineRule="atLeast"/>
              <w:rPr>
                <w:kern w:val="0"/>
                <w:sz w:val="15"/>
              </w:rPr>
            </w:pPr>
          </w:p>
        </w:tc>
      </w:tr>
      <w:tr w14:paraId="23A18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16" w:hRule="atLeast"/>
          <w:jc w:val="center"/>
        </w:trPr>
        <w:tc>
          <w:tcPr>
            <w:tcW w:w="1222" w:type="dxa"/>
            <w:vMerge w:val="continue"/>
            <w:shd w:val="clear" w:color="auto" w:fill="auto"/>
            <w:vAlign w:val="center"/>
          </w:tcPr>
          <w:p w14:paraId="1C65157F">
            <w:pPr>
              <w:spacing w:line="240" w:lineRule="atLeast"/>
              <w:jc w:val="center"/>
              <w:rPr>
                <w:rFonts w:cs="宋体"/>
                <w:b/>
              </w:rPr>
            </w:pPr>
          </w:p>
        </w:tc>
        <w:tc>
          <w:tcPr>
            <w:tcW w:w="2130" w:type="dxa"/>
            <w:vAlign w:val="center"/>
          </w:tcPr>
          <w:p w14:paraId="1F64BFE9">
            <w:pPr>
              <w:spacing w:line="300" w:lineRule="exact"/>
              <w:jc w:val="center"/>
              <w:rPr>
                <w:rFonts w:cs="宋体"/>
                <w:kern w:val="0"/>
              </w:rPr>
            </w:pPr>
            <w:r>
              <w:rPr>
                <w:rFonts w:hint="eastAsia" w:cs="宋体"/>
                <w:kern w:val="0"/>
              </w:rPr>
              <w:t>3.留学生教育服务</w:t>
            </w:r>
          </w:p>
        </w:tc>
        <w:tc>
          <w:tcPr>
            <w:tcW w:w="6093" w:type="dxa"/>
            <w:vAlign w:val="center"/>
          </w:tcPr>
          <w:p w14:paraId="448A03BE">
            <w:pPr>
              <w:spacing w:line="240" w:lineRule="atLeast"/>
              <w:ind w:left="105" w:leftChars="50"/>
              <w:rPr>
                <w:sz w:val="21"/>
                <w:szCs w:val="21"/>
              </w:rPr>
            </w:pPr>
            <w:r>
              <w:rPr>
                <w:rFonts w:hint="eastAsia"/>
                <w:sz w:val="21"/>
                <w:szCs w:val="21"/>
              </w:rPr>
              <w:t>做好</w:t>
            </w:r>
            <w:r>
              <w:rPr>
                <w:rFonts w:hint="eastAsia"/>
                <w:sz w:val="21"/>
                <w:szCs w:val="21"/>
                <w:lang w:eastAsia="zh-CN"/>
              </w:rPr>
              <w:t>2026</w:t>
            </w:r>
            <w:r>
              <w:rPr>
                <w:rFonts w:hint="eastAsia"/>
                <w:sz w:val="21"/>
                <w:szCs w:val="21"/>
              </w:rPr>
              <w:t>届毕业留学生离校、</w:t>
            </w:r>
            <w:r>
              <w:rPr>
                <w:rFonts w:hint="eastAsia"/>
                <w:sz w:val="21"/>
                <w:szCs w:val="21"/>
                <w:lang w:eastAsia="zh-CN"/>
              </w:rPr>
              <w:t>2026</w:t>
            </w:r>
            <w:r>
              <w:rPr>
                <w:rFonts w:hint="eastAsia"/>
                <w:sz w:val="21"/>
                <w:szCs w:val="21"/>
              </w:rPr>
              <w:t>级留学生迎新及入学教育工作；做好留学生生活管理、涉外管理，开展中国国情教育，营造“学在常工、爱在中国”的育人氛围。</w:t>
            </w:r>
          </w:p>
        </w:tc>
        <w:tc>
          <w:tcPr>
            <w:tcW w:w="1023" w:type="dxa"/>
            <w:vAlign w:val="center"/>
          </w:tcPr>
          <w:p w14:paraId="65026443">
            <w:pPr>
              <w:snapToGrid w:val="0"/>
              <w:spacing w:line="240" w:lineRule="atLeast"/>
              <w:rPr>
                <w:kern w:val="0"/>
                <w:sz w:val="15"/>
              </w:rPr>
            </w:pPr>
          </w:p>
        </w:tc>
      </w:tr>
      <w:tr w14:paraId="18F70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222" w:type="dxa"/>
            <w:vMerge w:val="continue"/>
            <w:shd w:val="clear" w:color="auto" w:fill="auto"/>
            <w:vAlign w:val="center"/>
          </w:tcPr>
          <w:p w14:paraId="546A31F2">
            <w:pPr>
              <w:spacing w:line="240" w:lineRule="atLeast"/>
              <w:jc w:val="center"/>
              <w:rPr>
                <w:rFonts w:cs="宋体"/>
                <w:b/>
              </w:rPr>
            </w:pPr>
          </w:p>
        </w:tc>
        <w:tc>
          <w:tcPr>
            <w:tcW w:w="2130" w:type="dxa"/>
            <w:vAlign w:val="center"/>
          </w:tcPr>
          <w:p w14:paraId="675AA266">
            <w:pPr>
              <w:spacing w:line="300" w:lineRule="exact"/>
              <w:jc w:val="center"/>
              <w:rPr>
                <w:rFonts w:hint="eastAsia" w:cs="宋体"/>
                <w:kern w:val="0"/>
              </w:rPr>
            </w:pPr>
            <w:r>
              <w:rPr>
                <w:rFonts w:hint="eastAsia" w:cs="宋体"/>
                <w:kern w:val="0"/>
              </w:rPr>
              <w:t>4.留学生安全稳定</w:t>
            </w:r>
          </w:p>
          <w:p w14:paraId="68EA9C94">
            <w:pPr>
              <w:spacing w:line="300" w:lineRule="exact"/>
              <w:jc w:val="center"/>
              <w:rPr>
                <w:rFonts w:cs="宋体"/>
                <w:kern w:val="0"/>
              </w:rPr>
            </w:pPr>
            <w:r>
              <w:rPr>
                <w:rFonts w:hint="eastAsia" w:cs="宋体"/>
                <w:kern w:val="0"/>
              </w:rPr>
              <w:t>工作</w:t>
            </w:r>
          </w:p>
        </w:tc>
        <w:tc>
          <w:tcPr>
            <w:tcW w:w="6093" w:type="dxa"/>
            <w:vAlign w:val="center"/>
          </w:tcPr>
          <w:p w14:paraId="4BF82B2E">
            <w:pPr>
              <w:spacing w:line="240" w:lineRule="atLeast"/>
              <w:ind w:left="105" w:leftChars="50"/>
              <w:rPr>
                <w:rFonts w:cs="宋体"/>
                <w:sz w:val="21"/>
                <w:szCs w:val="21"/>
              </w:rPr>
            </w:pPr>
            <w:r>
              <w:rPr>
                <w:rFonts w:hint="eastAsia" w:cs="宋体"/>
                <w:kern w:val="0"/>
                <w:sz w:val="21"/>
                <w:szCs w:val="21"/>
              </w:rPr>
              <w:t>做好留学生法律法规教育、身心健康教育、安全教育等主题教育，强化风险防范，筑牢安全防线。</w:t>
            </w:r>
          </w:p>
        </w:tc>
        <w:tc>
          <w:tcPr>
            <w:tcW w:w="1023" w:type="dxa"/>
            <w:vAlign w:val="center"/>
          </w:tcPr>
          <w:p w14:paraId="5EBAD3DB">
            <w:pPr>
              <w:snapToGrid w:val="0"/>
              <w:spacing w:line="240" w:lineRule="atLeast"/>
              <w:rPr>
                <w:kern w:val="0"/>
                <w:sz w:val="15"/>
              </w:rPr>
            </w:pPr>
          </w:p>
        </w:tc>
      </w:tr>
      <w:tr w14:paraId="00E4B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22" w:type="dxa"/>
            <w:vMerge w:val="restart"/>
            <w:vAlign w:val="center"/>
          </w:tcPr>
          <w:p w14:paraId="01618D80">
            <w:pPr>
              <w:spacing w:line="240" w:lineRule="atLeast"/>
              <w:jc w:val="center"/>
              <w:rPr>
                <w:rFonts w:cs="宋体"/>
                <w:b/>
              </w:rPr>
            </w:pPr>
            <w:r>
              <w:rPr>
                <w:rFonts w:hint="eastAsia" w:cs="宋体"/>
                <w:b/>
              </w:rPr>
              <w:t>三、学生</w:t>
            </w:r>
          </w:p>
          <w:p w14:paraId="7600CB1C">
            <w:pPr>
              <w:spacing w:line="240" w:lineRule="atLeast"/>
              <w:jc w:val="center"/>
              <w:rPr>
                <w:rFonts w:hint="eastAsia" w:cs="宋体"/>
                <w:b/>
              </w:rPr>
            </w:pPr>
            <w:r>
              <w:rPr>
                <w:rFonts w:hint="eastAsia" w:cs="宋体"/>
                <w:b/>
              </w:rPr>
              <w:t>工作</w:t>
            </w:r>
          </w:p>
          <w:p w14:paraId="758F3449">
            <w:pPr>
              <w:spacing w:line="240" w:lineRule="atLeast"/>
              <w:jc w:val="center"/>
              <w:rPr>
                <w:b/>
              </w:rPr>
            </w:pPr>
            <w:r>
              <w:rPr>
                <w:rFonts w:hint="eastAsia" w:cs="宋体"/>
                <w:b/>
                <w:color w:val="FF0000"/>
              </w:rPr>
              <w:t>（学工处）</w:t>
            </w:r>
          </w:p>
        </w:tc>
        <w:tc>
          <w:tcPr>
            <w:tcW w:w="2130" w:type="dxa"/>
            <w:tcMar>
              <w:left w:w="20" w:type="dxa"/>
              <w:right w:w="20" w:type="dxa"/>
            </w:tcMar>
            <w:vAlign w:val="center"/>
          </w:tcPr>
          <w:p w14:paraId="7F4C66EA">
            <w:pPr>
              <w:widowControl/>
              <w:spacing w:line="300" w:lineRule="exact"/>
              <w:ind w:firstLine="121"/>
              <w:jc w:val="center"/>
              <w:rPr>
                <w:color w:val="000000"/>
                <w:kern w:val="0"/>
              </w:rPr>
            </w:pPr>
            <w:r>
              <w:rPr>
                <w:color w:val="000000"/>
                <w:kern w:val="0"/>
              </w:rPr>
              <w:t>1.思想政治教育及</w:t>
            </w:r>
          </w:p>
          <w:p w14:paraId="729BC756">
            <w:pPr>
              <w:widowControl/>
              <w:spacing w:line="300" w:lineRule="exact"/>
              <w:ind w:firstLine="121"/>
              <w:jc w:val="center"/>
              <w:rPr>
                <w:rFonts w:cs="宋体"/>
                <w:kern w:val="0"/>
              </w:rPr>
            </w:pPr>
            <w:r>
              <w:rPr>
                <w:color w:val="000000"/>
                <w:kern w:val="0"/>
              </w:rPr>
              <w:t>队伍建设</w:t>
            </w:r>
          </w:p>
        </w:tc>
        <w:tc>
          <w:tcPr>
            <w:tcW w:w="6093" w:type="dxa"/>
            <w:tcMar>
              <w:left w:w="20" w:type="dxa"/>
              <w:right w:w="20" w:type="dxa"/>
            </w:tcMar>
            <w:vAlign w:val="center"/>
          </w:tcPr>
          <w:p w14:paraId="382F6E8C">
            <w:pPr>
              <w:spacing w:line="240" w:lineRule="atLeast"/>
              <w:ind w:left="105"/>
              <w:rPr>
                <w:rFonts w:cs="宋体"/>
                <w:sz w:val="21"/>
                <w:szCs w:val="21"/>
              </w:rPr>
            </w:pPr>
            <w:r>
              <w:rPr>
                <w:color w:val="000000"/>
                <w:kern w:val="0"/>
                <w:sz w:val="21"/>
                <w:szCs w:val="21"/>
              </w:rPr>
              <w:t>思想政治教育</w:t>
            </w:r>
            <w:r>
              <w:rPr>
                <w:rFonts w:hint="eastAsia"/>
                <w:color w:val="000000"/>
                <w:kern w:val="0"/>
                <w:sz w:val="21"/>
                <w:szCs w:val="21"/>
              </w:rPr>
              <w:t>紧密围绕</w:t>
            </w:r>
            <w:r>
              <w:rPr>
                <w:sz w:val="21"/>
                <w:szCs w:val="21"/>
              </w:rPr>
              <w:t>《常州工学院学生思想政治教育提质增效三年行动方案（</w:t>
            </w:r>
            <w:r>
              <w:rPr>
                <w:rFonts w:hint="eastAsia"/>
                <w:sz w:val="21"/>
                <w:szCs w:val="21"/>
                <w:lang w:eastAsia="zh-CN"/>
              </w:rPr>
              <w:t>202</w:t>
            </w:r>
            <w:r>
              <w:rPr>
                <w:rFonts w:hint="eastAsia"/>
                <w:sz w:val="21"/>
                <w:szCs w:val="21"/>
                <w:lang w:val="en-US" w:eastAsia="zh-CN"/>
              </w:rPr>
              <w:t>5</w:t>
            </w:r>
            <w:r>
              <w:rPr>
                <w:sz w:val="21"/>
                <w:szCs w:val="21"/>
              </w:rPr>
              <w:t>-2027）》</w:t>
            </w:r>
            <w:r>
              <w:rPr>
                <w:rFonts w:hint="eastAsia"/>
                <w:sz w:val="21"/>
                <w:szCs w:val="21"/>
              </w:rPr>
              <w:t>，</w:t>
            </w:r>
            <w:r>
              <w:rPr>
                <w:color w:val="000000"/>
                <w:kern w:val="0"/>
                <w:sz w:val="21"/>
                <w:szCs w:val="21"/>
              </w:rPr>
              <w:t>工作有设计、有研究、有举措、有成效；队伍建设有创新、有成果。</w:t>
            </w:r>
          </w:p>
        </w:tc>
        <w:tc>
          <w:tcPr>
            <w:tcW w:w="1023" w:type="dxa"/>
            <w:tcMar>
              <w:left w:w="20" w:type="dxa"/>
              <w:right w:w="20" w:type="dxa"/>
            </w:tcMar>
            <w:vAlign w:val="center"/>
          </w:tcPr>
          <w:p w14:paraId="11DD92D3">
            <w:pPr>
              <w:spacing w:line="240" w:lineRule="atLeast"/>
            </w:pPr>
          </w:p>
        </w:tc>
      </w:tr>
      <w:tr w14:paraId="4495E5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222" w:type="dxa"/>
            <w:vMerge w:val="continue"/>
            <w:vAlign w:val="center"/>
          </w:tcPr>
          <w:p w14:paraId="796A3759">
            <w:pPr>
              <w:spacing w:line="240" w:lineRule="atLeast"/>
              <w:jc w:val="center"/>
              <w:rPr>
                <w:b/>
              </w:rPr>
            </w:pPr>
          </w:p>
        </w:tc>
        <w:tc>
          <w:tcPr>
            <w:tcW w:w="2130" w:type="dxa"/>
            <w:tcMar>
              <w:left w:w="20" w:type="dxa"/>
              <w:right w:w="20" w:type="dxa"/>
            </w:tcMar>
            <w:vAlign w:val="center"/>
          </w:tcPr>
          <w:p w14:paraId="64BD6705">
            <w:pPr>
              <w:widowControl/>
              <w:spacing w:line="300" w:lineRule="exact"/>
              <w:ind w:firstLine="121"/>
              <w:jc w:val="center"/>
              <w:rPr>
                <w:rFonts w:cs="宋体"/>
                <w:kern w:val="0"/>
              </w:rPr>
            </w:pPr>
            <w:r>
              <w:rPr>
                <w:color w:val="000000"/>
                <w:kern w:val="0"/>
              </w:rPr>
              <w:t>2.日常管理</w:t>
            </w:r>
          </w:p>
        </w:tc>
        <w:tc>
          <w:tcPr>
            <w:tcW w:w="6093" w:type="dxa"/>
            <w:tcMar>
              <w:left w:w="20" w:type="dxa"/>
              <w:right w:w="20" w:type="dxa"/>
            </w:tcMar>
            <w:vAlign w:val="center"/>
          </w:tcPr>
          <w:p w14:paraId="4B9ACBA3">
            <w:pPr>
              <w:spacing w:line="240" w:lineRule="atLeast"/>
              <w:ind w:left="105"/>
              <w:rPr>
                <w:kern w:val="0"/>
                <w:sz w:val="21"/>
                <w:szCs w:val="21"/>
              </w:rPr>
            </w:pPr>
            <w:r>
              <w:rPr>
                <w:color w:val="000000"/>
                <w:kern w:val="0"/>
                <w:sz w:val="21"/>
                <w:szCs w:val="21"/>
              </w:rPr>
              <w:t>日常管理平稳、规范、有序，无管理事故发生。</w:t>
            </w:r>
          </w:p>
        </w:tc>
        <w:tc>
          <w:tcPr>
            <w:tcW w:w="1023" w:type="dxa"/>
            <w:tcMar>
              <w:left w:w="20" w:type="dxa"/>
              <w:right w:w="20" w:type="dxa"/>
            </w:tcMar>
            <w:vAlign w:val="center"/>
          </w:tcPr>
          <w:p w14:paraId="2FE6BFDD">
            <w:pPr>
              <w:spacing w:line="240" w:lineRule="atLeast"/>
            </w:pPr>
          </w:p>
        </w:tc>
      </w:tr>
      <w:tr w14:paraId="39656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22" w:type="dxa"/>
            <w:vMerge w:val="restart"/>
            <w:vAlign w:val="center"/>
          </w:tcPr>
          <w:p w14:paraId="2A4D6025">
            <w:pPr>
              <w:spacing w:line="240" w:lineRule="atLeast"/>
              <w:jc w:val="center"/>
              <w:rPr>
                <w:rFonts w:hint="eastAsia" w:cs="宋体"/>
                <w:b/>
              </w:rPr>
            </w:pPr>
            <w:r>
              <w:rPr>
                <w:rFonts w:hint="eastAsia" w:cs="宋体"/>
                <w:b/>
              </w:rPr>
              <w:t>四、党建与思想政治工作</w:t>
            </w:r>
          </w:p>
          <w:p w14:paraId="2FDE503D">
            <w:pPr>
              <w:spacing w:line="240" w:lineRule="atLeast"/>
              <w:jc w:val="center"/>
            </w:pPr>
            <w:r>
              <w:rPr>
                <w:rFonts w:hint="eastAsia"/>
                <w:b/>
                <w:color w:val="FF0000"/>
              </w:rPr>
              <w:t>（组织部/统战部）</w:t>
            </w:r>
          </w:p>
        </w:tc>
        <w:tc>
          <w:tcPr>
            <w:tcW w:w="2130" w:type="dxa"/>
            <w:tcMar>
              <w:left w:w="20" w:type="dxa"/>
              <w:right w:w="20" w:type="dxa"/>
            </w:tcMar>
            <w:vAlign w:val="center"/>
          </w:tcPr>
          <w:p w14:paraId="31EB435C">
            <w:pPr>
              <w:spacing w:line="300" w:lineRule="exact"/>
              <w:jc w:val="center"/>
            </w:pPr>
            <w:r>
              <w:t>1.党的政治建设</w:t>
            </w:r>
          </w:p>
        </w:tc>
        <w:tc>
          <w:tcPr>
            <w:tcW w:w="6093" w:type="dxa"/>
            <w:tcMar>
              <w:left w:w="20" w:type="dxa"/>
              <w:right w:w="20" w:type="dxa"/>
            </w:tcMar>
          </w:tcPr>
          <w:p w14:paraId="4D594C53">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snapToGrid w:val="0"/>
                <w:sz w:val="21"/>
                <w:szCs w:val="21"/>
              </w:rPr>
            </w:pPr>
            <w:r>
              <w:rPr>
                <w:rFonts w:hint="eastAsia"/>
                <w:snapToGrid w:val="0"/>
                <w:sz w:val="21"/>
                <w:szCs w:val="21"/>
              </w:rPr>
              <w:t>1</w:t>
            </w:r>
            <w:r>
              <w:rPr>
                <w:snapToGrid w:val="0"/>
                <w:sz w:val="21"/>
                <w:szCs w:val="21"/>
              </w:rPr>
              <w:t>.</w:t>
            </w:r>
            <w:r>
              <w:rPr>
                <w:sz w:val="21"/>
                <w:szCs w:val="21"/>
              </w:rPr>
              <w:t>夯实党建主体责任。</w:t>
            </w:r>
            <w:r>
              <w:rPr>
                <w:rFonts w:hint="eastAsia"/>
                <w:sz w:val="21"/>
                <w:szCs w:val="21"/>
              </w:rPr>
              <w:t>完善并落实党政共同负责制，健全并执行议事规则和决策程序。</w:t>
            </w:r>
            <w:r>
              <w:rPr>
                <w:sz w:val="21"/>
                <w:szCs w:val="21"/>
              </w:rPr>
              <w:t>实施书记项目</w:t>
            </w:r>
            <w:r>
              <w:rPr>
                <w:rFonts w:hint="eastAsia"/>
                <w:sz w:val="21"/>
                <w:szCs w:val="21"/>
              </w:rPr>
              <w:t>，</w:t>
            </w:r>
            <w:r>
              <w:rPr>
                <w:sz w:val="21"/>
                <w:szCs w:val="21"/>
              </w:rPr>
              <w:t>助推“头雁”破解难题。</w:t>
            </w:r>
          </w:p>
          <w:p w14:paraId="4A072279">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snapToGrid w:val="0"/>
                <w:sz w:val="21"/>
                <w:szCs w:val="21"/>
              </w:rPr>
            </w:pPr>
            <w:r>
              <w:rPr>
                <w:rFonts w:hint="eastAsia"/>
                <w:snapToGrid w:val="0"/>
                <w:sz w:val="21"/>
                <w:szCs w:val="21"/>
              </w:rPr>
              <w:t>2</w:t>
            </w:r>
            <w:r>
              <w:rPr>
                <w:snapToGrid w:val="0"/>
                <w:sz w:val="21"/>
                <w:szCs w:val="21"/>
              </w:rPr>
              <w:t>.巩固深化主题教育。推进党纪学习教育常态化长效化。按照中央和上级部署要求，扎实开展深入贯彻中央八项规定精神学习教育。</w:t>
            </w:r>
          </w:p>
          <w:p w14:paraId="04A6AFA2">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snapToGrid w:val="0"/>
                <w:sz w:val="21"/>
                <w:szCs w:val="21"/>
              </w:rPr>
            </w:pPr>
            <w:r>
              <w:rPr>
                <w:snapToGrid w:val="0"/>
                <w:sz w:val="21"/>
                <w:szCs w:val="21"/>
              </w:rPr>
              <w:t>3.</w:t>
            </w:r>
            <w:r>
              <w:rPr>
                <w:rFonts w:hint="eastAsia"/>
                <w:snapToGrid w:val="0"/>
                <w:sz w:val="21"/>
                <w:szCs w:val="21"/>
              </w:rPr>
              <w:t>加强理论武装</w:t>
            </w:r>
            <w:r>
              <w:rPr>
                <w:snapToGrid w:val="0"/>
                <w:sz w:val="21"/>
                <w:szCs w:val="21"/>
              </w:rPr>
              <w:t>。组织党员、干部认真读原著、学原文、悟原理，将《习近平总书记关于党的建设的重要思想概论》纳入理论中心组学习、“三会一课”的重要内容。</w:t>
            </w:r>
          </w:p>
          <w:p w14:paraId="7403018F">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sz w:val="21"/>
                <w:szCs w:val="21"/>
              </w:rPr>
            </w:pPr>
            <w:r>
              <w:rPr>
                <w:snapToGrid w:val="0"/>
                <w:sz w:val="21"/>
                <w:szCs w:val="21"/>
              </w:rPr>
              <w:t>4.健全</w:t>
            </w:r>
            <w:r>
              <w:rPr>
                <w:rFonts w:hint="eastAsia"/>
                <w:snapToGrid w:val="0"/>
                <w:sz w:val="21"/>
                <w:szCs w:val="21"/>
              </w:rPr>
              <w:t>分</w:t>
            </w:r>
            <w:r>
              <w:rPr>
                <w:snapToGrid w:val="0"/>
                <w:sz w:val="21"/>
                <w:szCs w:val="21"/>
              </w:rPr>
              <w:t>党校工作机制。</w:t>
            </w:r>
            <w:r>
              <w:rPr>
                <w:rFonts w:hint="eastAsia"/>
                <w:snapToGrid w:val="0"/>
                <w:sz w:val="21"/>
                <w:szCs w:val="21"/>
              </w:rPr>
              <w:t>发挥分党校作用，在党员教育培训、课程和师资队伍建设等方面有创新举措和成效</w:t>
            </w:r>
            <w:r>
              <w:rPr>
                <w:sz w:val="21"/>
                <w:szCs w:val="21"/>
              </w:rPr>
              <w:t>。</w:t>
            </w:r>
          </w:p>
        </w:tc>
        <w:tc>
          <w:tcPr>
            <w:tcW w:w="1023" w:type="dxa"/>
            <w:tcMar>
              <w:left w:w="20" w:type="dxa"/>
              <w:right w:w="20" w:type="dxa"/>
            </w:tcMar>
            <w:vAlign w:val="center"/>
          </w:tcPr>
          <w:p w14:paraId="6DE2264D"/>
        </w:tc>
      </w:tr>
      <w:tr w14:paraId="4279C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2BEDE046"/>
        </w:tc>
        <w:tc>
          <w:tcPr>
            <w:tcW w:w="2130" w:type="dxa"/>
            <w:tcMar>
              <w:left w:w="20" w:type="dxa"/>
              <w:right w:w="20" w:type="dxa"/>
            </w:tcMar>
            <w:vAlign w:val="center"/>
          </w:tcPr>
          <w:p w14:paraId="6359A9DB">
            <w:pPr>
              <w:spacing w:line="300" w:lineRule="exact"/>
              <w:jc w:val="center"/>
            </w:pPr>
            <w:r>
              <w:t>2.基层党组织建设</w:t>
            </w:r>
          </w:p>
        </w:tc>
        <w:tc>
          <w:tcPr>
            <w:tcW w:w="6093" w:type="dxa"/>
            <w:tcMar>
              <w:left w:w="20" w:type="dxa"/>
              <w:right w:w="20" w:type="dxa"/>
            </w:tcMar>
          </w:tcPr>
          <w:p w14:paraId="104AB1A4">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snapToGrid w:val="0"/>
                <w:sz w:val="21"/>
                <w:szCs w:val="21"/>
              </w:rPr>
            </w:pPr>
            <w:r>
              <w:rPr>
                <w:rFonts w:hint="eastAsia"/>
                <w:sz w:val="21"/>
                <w:szCs w:val="21"/>
              </w:rPr>
              <w:t>1</w:t>
            </w:r>
            <w:r>
              <w:rPr>
                <w:sz w:val="21"/>
                <w:szCs w:val="21"/>
              </w:rPr>
              <w:t>.</w:t>
            </w:r>
            <w:r>
              <w:rPr>
                <w:rFonts w:hint="eastAsia"/>
                <w:sz w:val="21"/>
                <w:szCs w:val="21"/>
              </w:rPr>
              <w:t>扎实</w:t>
            </w:r>
            <w:r>
              <w:rPr>
                <w:sz w:val="21"/>
                <w:szCs w:val="21"/>
              </w:rPr>
              <w:t>开展基层党支部换届选举工作</w:t>
            </w:r>
            <w:r>
              <w:rPr>
                <w:rFonts w:hint="eastAsia"/>
                <w:sz w:val="21"/>
                <w:szCs w:val="21"/>
              </w:rPr>
              <w:t>和</w:t>
            </w:r>
            <w:r>
              <w:rPr>
                <w:sz w:val="21"/>
                <w:szCs w:val="21"/>
              </w:rPr>
              <w:t>基层党支部书记履行党建工作责任述职评议工作。</w:t>
            </w:r>
          </w:p>
          <w:p w14:paraId="60B2175D">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sz w:val="21"/>
                <w:szCs w:val="21"/>
              </w:rPr>
            </w:pPr>
            <w:r>
              <w:rPr>
                <w:sz w:val="21"/>
                <w:szCs w:val="21"/>
              </w:rPr>
              <w:t>2.</w:t>
            </w:r>
            <w:r>
              <w:rPr>
                <w:rFonts w:hint="eastAsia"/>
                <w:sz w:val="21"/>
                <w:szCs w:val="21"/>
              </w:rPr>
              <w:t>扎实推进党建“双创”工作。</w:t>
            </w:r>
          </w:p>
          <w:p w14:paraId="0961AD2A">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sz w:val="21"/>
                <w:szCs w:val="21"/>
              </w:rPr>
            </w:pPr>
            <w:r>
              <w:rPr>
                <w:sz w:val="21"/>
                <w:szCs w:val="21"/>
              </w:rPr>
              <w:t>3.</w:t>
            </w:r>
            <w:r>
              <w:rPr>
                <w:rFonts w:hint="eastAsia"/>
                <w:sz w:val="21"/>
                <w:szCs w:val="21"/>
              </w:rPr>
              <w:t>抓好</w:t>
            </w:r>
            <w:r>
              <w:rPr>
                <w:sz w:val="21"/>
                <w:szCs w:val="21"/>
              </w:rPr>
              <w:t>党员队伍建设。</w:t>
            </w:r>
            <w:r>
              <w:rPr>
                <w:snapToGrid w:val="0"/>
                <w:sz w:val="21"/>
                <w:szCs w:val="21"/>
              </w:rPr>
              <w:t>深化“党委主责、支部主抓、党员主体”工作机制，</w:t>
            </w:r>
            <w:r>
              <w:rPr>
                <w:sz w:val="21"/>
                <w:szCs w:val="21"/>
              </w:rPr>
              <w:t>完成年度党员发展计划。</w:t>
            </w:r>
            <w:r>
              <w:rPr>
                <w:rFonts w:hint="eastAsia"/>
                <w:sz w:val="21"/>
                <w:szCs w:val="21"/>
              </w:rPr>
              <w:t>常态化</w:t>
            </w:r>
            <w:r>
              <w:rPr>
                <w:sz w:val="21"/>
                <w:szCs w:val="21"/>
              </w:rPr>
              <w:t>开展</w:t>
            </w:r>
            <w:r>
              <w:rPr>
                <w:rFonts w:hint="eastAsia"/>
                <w:sz w:val="21"/>
                <w:szCs w:val="21"/>
              </w:rPr>
              <w:t>发展</w:t>
            </w:r>
            <w:r>
              <w:rPr>
                <w:sz w:val="21"/>
                <w:szCs w:val="21"/>
              </w:rPr>
              <w:t>党员工作自查整改。</w:t>
            </w:r>
          </w:p>
          <w:p w14:paraId="664150D3">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sz w:val="21"/>
                <w:szCs w:val="21"/>
              </w:rPr>
            </w:pPr>
            <w:r>
              <w:rPr>
                <w:rFonts w:hint="eastAsia"/>
                <w:sz w:val="21"/>
                <w:szCs w:val="21"/>
              </w:rPr>
              <w:t>4</w:t>
            </w:r>
            <w:r>
              <w:rPr>
                <w:sz w:val="21"/>
                <w:szCs w:val="21"/>
              </w:rPr>
              <w:t>.</w:t>
            </w:r>
            <w:r>
              <w:rPr>
                <w:rFonts w:hint="eastAsia"/>
                <w:sz w:val="21"/>
                <w:szCs w:val="21"/>
              </w:rPr>
              <w:t>做好</w:t>
            </w:r>
            <w:r>
              <w:rPr>
                <w:sz w:val="21"/>
                <w:szCs w:val="21"/>
              </w:rPr>
              <w:t>党员教育管理工作。</w:t>
            </w:r>
            <w:r>
              <w:rPr>
                <w:snapToGrid w:val="0"/>
                <w:sz w:val="21"/>
                <w:szCs w:val="21"/>
              </w:rPr>
              <w:t>用好党员管理信息系统，</w:t>
            </w:r>
            <w:r>
              <w:rPr>
                <w:sz w:val="21"/>
                <w:szCs w:val="21"/>
              </w:rPr>
              <w:t>系统谋划“一站式”学生社区党建阵地建设。发挥党内表彰激励效能，选树“两优一先”等先进典型。</w:t>
            </w:r>
            <w:r>
              <w:rPr>
                <w:snapToGrid w:val="0"/>
                <w:sz w:val="21"/>
                <w:szCs w:val="21"/>
              </w:rPr>
              <w:t>强化党员激励关怀帮扶，常态化做好先进典型选树宣传</w:t>
            </w:r>
            <w:r>
              <w:rPr>
                <w:rFonts w:hint="eastAsia"/>
                <w:snapToGrid w:val="0"/>
                <w:sz w:val="21"/>
                <w:szCs w:val="21"/>
              </w:rPr>
              <w:t>。</w:t>
            </w:r>
            <w:r>
              <w:rPr>
                <w:sz w:val="21"/>
                <w:szCs w:val="21"/>
              </w:rPr>
              <w:t>从严落实党费收缴、使用和管理规定，提升经费使用实效。</w:t>
            </w:r>
          </w:p>
        </w:tc>
        <w:tc>
          <w:tcPr>
            <w:tcW w:w="1023" w:type="dxa"/>
            <w:tcMar>
              <w:left w:w="20" w:type="dxa"/>
              <w:right w:w="20" w:type="dxa"/>
            </w:tcMar>
            <w:vAlign w:val="center"/>
          </w:tcPr>
          <w:p w14:paraId="1A5C0FD1"/>
        </w:tc>
      </w:tr>
      <w:tr w14:paraId="140EFE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2" w:type="dxa"/>
            <w:vMerge w:val="continue"/>
            <w:vAlign w:val="center"/>
          </w:tcPr>
          <w:p w14:paraId="7312325D"/>
        </w:tc>
        <w:tc>
          <w:tcPr>
            <w:tcW w:w="2130" w:type="dxa"/>
            <w:tcMar>
              <w:left w:w="20" w:type="dxa"/>
              <w:right w:w="20" w:type="dxa"/>
            </w:tcMar>
            <w:vAlign w:val="center"/>
          </w:tcPr>
          <w:p w14:paraId="5E4DE79F">
            <w:pPr>
              <w:spacing w:line="300" w:lineRule="exact"/>
              <w:jc w:val="center"/>
            </w:pPr>
            <w:r>
              <w:t>3.党管干部人才工作</w:t>
            </w:r>
          </w:p>
        </w:tc>
        <w:tc>
          <w:tcPr>
            <w:tcW w:w="6093" w:type="dxa"/>
            <w:tcMar>
              <w:left w:w="20" w:type="dxa"/>
              <w:right w:w="20" w:type="dxa"/>
            </w:tcMar>
            <w:vAlign w:val="center"/>
          </w:tcPr>
          <w:p w14:paraId="38F94C57">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sz w:val="21"/>
                <w:szCs w:val="21"/>
              </w:rPr>
            </w:pPr>
            <w:r>
              <w:rPr>
                <w:rFonts w:hint="eastAsia"/>
                <w:sz w:val="21"/>
                <w:szCs w:val="21"/>
              </w:rPr>
              <w:t>1.</w:t>
            </w:r>
            <w:r>
              <w:rPr>
                <w:sz w:val="21"/>
                <w:szCs w:val="21"/>
              </w:rPr>
              <w:t>落实一把手抓第一资源责任，积极为各类高层次人才成长成才创造优良环境和条件，落实二级学院领导联系高层次人才工作制度。</w:t>
            </w:r>
          </w:p>
          <w:p w14:paraId="6CC96279">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sz w:val="21"/>
                <w:szCs w:val="21"/>
              </w:rPr>
            </w:pPr>
            <w:r>
              <w:rPr>
                <w:rFonts w:hint="eastAsia"/>
                <w:sz w:val="21"/>
                <w:szCs w:val="21"/>
              </w:rPr>
              <w:t>2.加强领导班子建设，领导班子讲团结有合力。</w:t>
            </w:r>
          </w:p>
          <w:p w14:paraId="5DDFFC2B">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sz w:val="21"/>
                <w:szCs w:val="21"/>
              </w:rPr>
            </w:pPr>
            <w:r>
              <w:rPr>
                <w:rFonts w:hint="eastAsia"/>
                <w:sz w:val="21"/>
                <w:szCs w:val="21"/>
              </w:rPr>
              <w:t>3.加强年轻干部发现和培养力度，</w:t>
            </w:r>
            <w:r>
              <w:rPr>
                <w:sz w:val="21"/>
                <w:szCs w:val="21"/>
              </w:rPr>
              <w:t>做好“跟班锻炼”</w:t>
            </w:r>
            <w:r>
              <w:rPr>
                <w:rFonts w:hint="eastAsia"/>
                <w:sz w:val="21"/>
                <w:szCs w:val="21"/>
              </w:rPr>
              <w:t>“跟岗任职”、校内外挂职锻炼等</w:t>
            </w:r>
            <w:r>
              <w:rPr>
                <w:sz w:val="21"/>
                <w:szCs w:val="21"/>
              </w:rPr>
              <w:t>人员</w:t>
            </w:r>
            <w:r>
              <w:rPr>
                <w:rFonts w:hint="eastAsia"/>
                <w:sz w:val="21"/>
                <w:szCs w:val="21"/>
              </w:rPr>
              <w:t>跟踪培养和管理工作</w:t>
            </w:r>
            <w:r>
              <w:rPr>
                <w:sz w:val="21"/>
                <w:szCs w:val="21"/>
              </w:rPr>
              <w:t>。</w:t>
            </w:r>
          </w:p>
          <w:p w14:paraId="75A5F145">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sz w:val="21"/>
                <w:szCs w:val="21"/>
              </w:rPr>
            </w:pPr>
            <w:r>
              <w:rPr>
                <w:sz w:val="21"/>
                <w:szCs w:val="21"/>
              </w:rPr>
              <w:t>4</w:t>
            </w:r>
            <w:r>
              <w:rPr>
                <w:rFonts w:hint="eastAsia"/>
                <w:sz w:val="21"/>
                <w:szCs w:val="21"/>
              </w:rPr>
              <w:t>.做好干部教育培训、监督管理工作。</w:t>
            </w:r>
          </w:p>
        </w:tc>
        <w:tc>
          <w:tcPr>
            <w:tcW w:w="1023" w:type="dxa"/>
            <w:tcMar>
              <w:left w:w="20" w:type="dxa"/>
              <w:right w:w="20" w:type="dxa"/>
            </w:tcMar>
            <w:vAlign w:val="center"/>
          </w:tcPr>
          <w:p w14:paraId="5CB39EAE"/>
        </w:tc>
      </w:tr>
      <w:tr w14:paraId="2086A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22" w:type="dxa"/>
            <w:vMerge w:val="continue"/>
            <w:vAlign w:val="center"/>
          </w:tcPr>
          <w:p w14:paraId="7FEBCDA9"/>
        </w:tc>
        <w:tc>
          <w:tcPr>
            <w:tcW w:w="2130" w:type="dxa"/>
            <w:tcMar>
              <w:left w:w="20" w:type="dxa"/>
              <w:right w:w="20" w:type="dxa"/>
            </w:tcMar>
            <w:vAlign w:val="center"/>
          </w:tcPr>
          <w:p w14:paraId="136DD308">
            <w:pPr>
              <w:spacing w:line="300" w:lineRule="exact"/>
              <w:jc w:val="center"/>
            </w:pPr>
            <w:r>
              <w:t>4.统一战线工作</w:t>
            </w:r>
          </w:p>
        </w:tc>
        <w:tc>
          <w:tcPr>
            <w:tcW w:w="6093" w:type="dxa"/>
            <w:tcMar>
              <w:left w:w="20" w:type="dxa"/>
              <w:right w:w="20" w:type="dxa"/>
            </w:tcMar>
            <w:vAlign w:val="center"/>
          </w:tcPr>
          <w:p w14:paraId="7F045DE5">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sz w:val="21"/>
                <w:szCs w:val="21"/>
              </w:rPr>
            </w:pPr>
            <w:r>
              <w:rPr>
                <w:rFonts w:hint="eastAsia"/>
                <w:sz w:val="21"/>
                <w:szCs w:val="21"/>
              </w:rPr>
              <w:t>1</w:t>
            </w:r>
            <w:r>
              <w:rPr>
                <w:sz w:val="21"/>
                <w:szCs w:val="21"/>
              </w:rPr>
              <w:t>. 加强党对统战工作的领导，将统战工作纳入学院重要议事日程，履行二级基层党组织统战工作主体责任。执行二级学院党员领导干部联系</w:t>
            </w:r>
            <w:r>
              <w:rPr>
                <w:rFonts w:hint="eastAsia"/>
                <w:sz w:val="21"/>
                <w:szCs w:val="21"/>
              </w:rPr>
              <w:t>外教</w:t>
            </w:r>
            <w:r>
              <w:rPr>
                <w:sz w:val="21"/>
                <w:szCs w:val="21"/>
              </w:rPr>
              <w:t>制度。</w:t>
            </w:r>
          </w:p>
          <w:p w14:paraId="383525D7">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sz w:val="21"/>
                <w:szCs w:val="21"/>
              </w:rPr>
            </w:pPr>
            <w:r>
              <w:rPr>
                <w:sz w:val="21"/>
                <w:szCs w:val="21"/>
              </w:rPr>
              <w:t>2.做好防范和抵御宗教对校园的渗透工作。将马克思主义宗教观融入新教工、新生入学教育以及师德师风建设中。</w:t>
            </w:r>
            <w:r>
              <w:rPr>
                <w:rFonts w:hint="eastAsia"/>
                <w:sz w:val="21"/>
                <w:szCs w:val="21"/>
              </w:rPr>
              <w:t>加强对留学生教育引导和外教的管理。</w:t>
            </w:r>
          </w:p>
          <w:p w14:paraId="51B9B824">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sz w:val="21"/>
                <w:szCs w:val="21"/>
              </w:rPr>
            </w:pPr>
            <w:r>
              <w:rPr>
                <w:sz w:val="21"/>
                <w:szCs w:val="21"/>
              </w:rPr>
              <w:t>3.推进中华民族共同体建设。落实《常州工学院加强铸牢中华民族共同体意识教育工作方案》各项内容。</w:t>
            </w:r>
          </w:p>
          <w:p w14:paraId="3DB1F938">
            <w:pPr>
              <w:keepNext w:val="0"/>
              <w:keepLines w:val="0"/>
              <w:pageBreakBefore w:val="0"/>
              <w:widowControl w:val="0"/>
              <w:kinsoku/>
              <w:wordWrap/>
              <w:overflowPunct/>
              <w:topLinePunct w:val="0"/>
              <w:autoSpaceDE/>
              <w:autoSpaceDN/>
              <w:bidi w:val="0"/>
              <w:adjustRightInd/>
              <w:snapToGrid/>
              <w:spacing w:line="240" w:lineRule="atLeast"/>
              <w:ind w:left="105" w:leftChars="50"/>
              <w:textAlignment w:val="auto"/>
              <w:rPr>
                <w:sz w:val="21"/>
                <w:szCs w:val="21"/>
              </w:rPr>
            </w:pPr>
            <w:r>
              <w:rPr>
                <w:sz w:val="21"/>
                <w:szCs w:val="21"/>
              </w:rPr>
              <w:t>4.</w:t>
            </w:r>
            <w:r>
              <w:rPr>
                <w:rFonts w:hint="eastAsia"/>
                <w:sz w:val="21"/>
                <w:szCs w:val="21"/>
              </w:rPr>
              <w:t>推动外教助力学校改革发展。举办中外文化互动主题活动，促进多元文化交流互鉴、国际教育资源整合等，引导外教积极参与学校改革发展。</w:t>
            </w:r>
          </w:p>
          <w:p w14:paraId="3DC37E14">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105" w:leftChars="50"/>
              <w:textAlignment w:val="auto"/>
              <w:rPr>
                <w:rFonts w:ascii="Times New Roman" w:hAnsi="Times New Roman"/>
                <w:sz w:val="21"/>
                <w:szCs w:val="21"/>
              </w:rPr>
            </w:pPr>
            <w:r>
              <w:rPr>
                <w:rFonts w:ascii="Times New Roman" w:hAnsi="Times New Roman"/>
                <w:sz w:val="21"/>
                <w:szCs w:val="21"/>
              </w:rPr>
              <w:t>6.防范化解涉统一战线风险隐患。健全完善意识形态监测预警、分析研判、应急处置、督查整改、总结评估等全链条工作体系，抓好关键节点风险防范工作。</w:t>
            </w:r>
          </w:p>
        </w:tc>
        <w:tc>
          <w:tcPr>
            <w:tcW w:w="1023" w:type="dxa"/>
            <w:tcMar>
              <w:left w:w="20" w:type="dxa"/>
              <w:right w:w="20" w:type="dxa"/>
            </w:tcMar>
            <w:vAlign w:val="center"/>
          </w:tcPr>
          <w:p w14:paraId="5EC2D6DF"/>
        </w:tc>
      </w:tr>
      <w:tr w14:paraId="50831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222" w:type="dxa"/>
            <w:vMerge w:val="continue"/>
            <w:vAlign w:val="center"/>
          </w:tcPr>
          <w:p w14:paraId="2BF56F72"/>
        </w:tc>
        <w:tc>
          <w:tcPr>
            <w:tcW w:w="2130" w:type="dxa"/>
            <w:tcMar>
              <w:left w:w="20" w:type="dxa"/>
              <w:right w:w="20" w:type="dxa"/>
            </w:tcMar>
            <w:vAlign w:val="center"/>
          </w:tcPr>
          <w:p w14:paraId="769124CC">
            <w:pPr>
              <w:spacing w:line="300" w:lineRule="exact"/>
              <w:jc w:val="center"/>
            </w:pPr>
            <w:r>
              <w:t>5.</w:t>
            </w:r>
            <w:r>
              <w:rPr>
                <w:rFonts w:hint="eastAsia"/>
              </w:rPr>
              <w:t>加强民主法治建设</w:t>
            </w:r>
          </w:p>
        </w:tc>
        <w:tc>
          <w:tcPr>
            <w:tcW w:w="6093" w:type="dxa"/>
            <w:tcMar>
              <w:left w:w="20" w:type="dxa"/>
              <w:right w:w="20" w:type="dxa"/>
            </w:tcMar>
            <w:vAlign w:val="center"/>
          </w:tcPr>
          <w:p w14:paraId="693BE07F">
            <w:pPr>
              <w:keepNext w:val="0"/>
              <w:keepLines w:val="0"/>
              <w:pageBreakBefore w:val="0"/>
              <w:kinsoku/>
              <w:wordWrap/>
              <w:overflowPunct/>
              <w:topLinePunct w:val="0"/>
              <w:autoSpaceDE/>
              <w:autoSpaceDN/>
              <w:bidi w:val="0"/>
              <w:adjustRightInd/>
              <w:snapToGrid/>
              <w:spacing w:line="240" w:lineRule="atLeast"/>
              <w:ind w:left="105" w:leftChars="50"/>
              <w:textAlignment w:val="auto"/>
              <w:rPr>
                <w:sz w:val="21"/>
                <w:szCs w:val="21"/>
              </w:rPr>
            </w:pPr>
            <w:r>
              <w:rPr>
                <w:rFonts w:hint="eastAsia"/>
                <w:sz w:val="21"/>
                <w:szCs w:val="21"/>
              </w:rPr>
              <w:t>1</w:t>
            </w:r>
            <w:r>
              <w:rPr>
                <w:sz w:val="21"/>
                <w:szCs w:val="21"/>
              </w:rPr>
              <w:t>.加强民主制度建设，建立健全教代会制度。</w:t>
            </w:r>
          </w:p>
          <w:p w14:paraId="2E407003">
            <w:pPr>
              <w:keepNext w:val="0"/>
              <w:keepLines w:val="0"/>
              <w:pageBreakBefore w:val="0"/>
              <w:kinsoku/>
              <w:wordWrap/>
              <w:overflowPunct/>
              <w:topLinePunct w:val="0"/>
              <w:autoSpaceDE/>
              <w:autoSpaceDN/>
              <w:bidi w:val="0"/>
              <w:adjustRightInd/>
              <w:snapToGrid/>
              <w:spacing w:line="240" w:lineRule="atLeast"/>
              <w:ind w:left="105" w:leftChars="50"/>
              <w:textAlignment w:val="auto"/>
              <w:rPr>
                <w:sz w:val="21"/>
                <w:szCs w:val="21"/>
              </w:rPr>
            </w:pPr>
            <w:r>
              <w:rPr>
                <w:sz w:val="21"/>
                <w:szCs w:val="21"/>
              </w:rPr>
              <w:t>2.坚持“党建带团建”，推进学生社团管理规范化建设。团的各级组织机构健全，人员、经费和活动场所落实到位。</w:t>
            </w:r>
          </w:p>
        </w:tc>
        <w:tc>
          <w:tcPr>
            <w:tcW w:w="1023" w:type="dxa"/>
            <w:tcMar>
              <w:left w:w="20" w:type="dxa"/>
              <w:right w:w="20" w:type="dxa"/>
            </w:tcMar>
            <w:vAlign w:val="center"/>
          </w:tcPr>
          <w:p w14:paraId="4664644B"/>
        </w:tc>
      </w:tr>
      <w:tr w14:paraId="415E3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22" w:type="dxa"/>
            <w:vMerge w:val="continue"/>
            <w:vAlign w:val="center"/>
          </w:tcPr>
          <w:p w14:paraId="2460BB95"/>
        </w:tc>
        <w:tc>
          <w:tcPr>
            <w:tcW w:w="2130" w:type="dxa"/>
            <w:tcMar>
              <w:left w:w="20" w:type="dxa"/>
              <w:right w:w="20" w:type="dxa"/>
            </w:tcMar>
            <w:vAlign w:val="center"/>
          </w:tcPr>
          <w:p w14:paraId="370D7224">
            <w:pPr>
              <w:spacing w:line="300" w:lineRule="exact"/>
              <w:jc w:val="center"/>
            </w:pPr>
            <w:r>
              <w:rPr>
                <w:rFonts w:hint="eastAsia"/>
              </w:rPr>
              <w:t>6</w:t>
            </w:r>
            <w:r>
              <w:t>.</w:t>
            </w:r>
            <w:r>
              <w:rPr>
                <w:rFonts w:hint="eastAsia"/>
              </w:rPr>
              <w:t>党建特色与创新工作</w:t>
            </w:r>
          </w:p>
        </w:tc>
        <w:tc>
          <w:tcPr>
            <w:tcW w:w="6093" w:type="dxa"/>
            <w:tcMar>
              <w:left w:w="20" w:type="dxa"/>
              <w:right w:w="20" w:type="dxa"/>
            </w:tcMar>
            <w:vAlign w:val="center"/>
          </w:tcPr>
          <w:p w14:paraId="24095FB7">
            <w:pPr>
              <w:keepNext w:val="0"/>
              <w:keepLines w:val="0"/>
              <w:pageBreakBefore w:val="0"/>
              <w:kinsoku/>
              <w:wordWrap/>
              <w:overflowPunct/>
              <w:topLinePunct w:val="0"/>
              <w:autoSpaceDE/>
              <w:autoSpaceDN/>
              <w:bidi w:val="0"/>
              <w:adjustRightInd/>
              <w:snapToGrid/>
              <w:spacing w:line="240" w:lineRule="atLeast"/>
              <w:ind w:left="105" w:leftChars="50"/>
              <w:textAlignment w:val="auto"/>
              <w:rPr>
                <w:sz w:val="21"/>
                <w:szCs w:val="21"/>
              </w:rPr>
            </w:pPr>
            <w:r>
              <w:rPr>
                <w:rFonts w:hint="eastAsia"/>
                <w:sz w:val="21"/>
                <w:szCs w:val="21"/>
              </w:rPr>
              <w:t>在</w:t>
            </w:r>
            <w:r>
              <w:rPr>
                <w:sz w:val="21"/>
                <w:szCs w:val="21"/>
              </w:rPr>
              <w:t>党建</w:t>
            </w:r>
            <w:r>
              <w:rPr>
                <w:rFonts w:hint="eastAsia"/>
                <w:sz w:val="21"/>
                <w:szCs w:val="21"/>
              </w:rPr>
              <w:t>与</w:t>
            </w:r>
            <w:r>
              <w:rPr>
                <w:sz w:val="21"/>
                <w:szCs w:val="21"/>
              </w:rPr>
              <w:t>业务融合</w:t>
            </w:r>
            <w:r>
              <w:rPr>
                <w:rFonts w:hint="eastAsia"/>
                <w:sz w:val="21"/>
                <w:szCs w:val="21"/>
              </w:rPr>
              <w:t>、</w:t>
            </w:r>
            <w:r>
              <w:rPr>
                <w:sz w:val="21"/>
                <w:szCs w:val="21"/>
              </w:rPr>
              <w:t>发挥党建联建服务效能</w:t>
            </w:r>
            <w:r>
              <w:rPr>
                <w:rFonts w:hint="eastAsia"/>
                <w:sz w:val="21"/>
                <w:szCs w:val="21"/>
              </w:rPr>
              <w:t>、促进对外文化交流等方面有创新工作举措，工作成效突出</w:t>
            </w:r>
            <w:r>
              <w:rPr>
                <w:snapToGrid w:val="0"/>
                <w:sz w:val="21"/>
                <w:szCs w:val="21"/>
              </w:rPr>
              <w:t>。</w:t>
            </w:r>
          </w:p>
        </w:tc>
        <w:tc>
          <w:tcPr>
            <w:tcW w:w="1023" w:type="dxa"/>
            <w:tcMar>
              <w:left w:w="20" w:type="dxa"/>
              <w:right w:w="20" w:type="dxa"/>
            </w:tcMar>
            <w:vAlign w:val="center"/>
          </w:tcPr>
          <w:p w14:paraId="72BDC465"/>
        </w:tc>
      </w:tr>
      <w:tr w14:paraId="6DC58E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restart"/>
            <w:vAlign w:val="center"/>
          </w:tcPr>
          <w:p w14:paraId="281BE479">
            <w:pPr>
              <w:spacing w:line="240" w:lineRule="atLeast"/>
              <w:jc w:val="center"/>
              <w:rPr>
                <w:b/>
              </w:rPr>
            </w:pPr>
            <w:r>
              <w:rPr>
                <w:rFonts w:hint="eastAsia"/>
                <w:b/>
              </w:rPr>
              <w:t>五、宣传</w:t>
            </w:r>
          </w:p>
          <w:p w14:paraId="3906B5ED">
            <w:pPr>
              <w:spacing w:line="240" w:lineRule="atLeast"/>
              <w:jc w:val="center"/>
              <w:rPr>
                <w:rFonts w:hint="eastAsia"/>
                <w:b/>
              </w:rPr>
            </w:pPr>
            <w:r>
              <w:rPr>
                <w:rFonts w:hint="eastAsia"/>
                <w:b/>
              </w:rPr>
              <w:t>思想文化工作</w:t>
            </w:r>
          </w:p>
          <w:p w14:paraId="7A02A40A">
            <w:pPr>
              <w:spacing w:line="240" w:lineRule="atLeast"/>
              <w:jc w:val="center"/>
              <w:rPr>
                <w:b/>
              </w:rPr>
            </w:pPr>
            <w:r>
              <w:rPr>
                <w:rFonts w:hint="eastAsia"/>
                <w:b/>
                <w:color w:val="FF0000"/>
              </w:rPr>
              <w:t>（宣传部）</w:t>
            </w:r>
          </w:p>
        </w:tc>
        <w:tc>
          <w:tcPr>
            <w:tcW w:w="2130" w:type="dxa"/>
            <w:tcMar>
              <w:left w:w="20" w:type="dxa"/>
              <w:right w:w="20" w:type="dxa"/>
            </w:tcMar>
            <w:vAlign w:val="center"/>
          </w:tcPr>
          <w:p w14:paraId="47839A81">
            <w:pPr>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加强理论武装</w:t>
            </w:r>
          </w:p>
        </w:tc>
        <w:tc>
          <w:tcPr>
            <w:tcW w:w="6093" w:type="dxa"/>
            <w:vAlign w:val="center"/>
          </w:tcPr>
          <w:p w14:paraId="26084318">
            <w:pPr>
              <w:keepNext w:val="0"/>
              <w:keepLines w:val="0"/>
              <w:pageBreakBefore w:val="0"/>
              <w:widowControl/>
              <w:kinsoku/>
              <w:wordWrap/>
              <w:overflowPunct/>
              <w:topLinePunct w:val="0"/>
              <w:autoSpaceDE/>
              <w:autoSpaceDN/>
              <w:bidi w:val="0"/>
              <w:adjustRightInd/>
              <w:snapToGrid/>
              <w:spacing w:line="240" w:lineRule="atLeast"/>
              <w:ind w:left="0" w:leftChars="0"/>
              <w:textAlignment w:val="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1.落实好党委理论学习中心组学习制度、巡学旁听制度、“第一议题”学习制度；2.落实好教职工政治理论学习制度；3.常态化学好用好“学习强国”平台。</w:t>
            </w:r>
          </w:p>
        </w:tc>
        <w:tc>
          <w:tcPr>
            <w:tcW w:w="1023" w:type="dxa"/>
            <w:tcMar>
              <w:left w:w="20" w:type="dxa"/>
              <w:right w:w="20" w:type="dxa"/>
            </w:tcMar>
            <w:vAlign w:val="center"/>
          </w:tcPr>
          <w:p w14:paraId="18A89474">
            <w:pPr>
              <w:spacing w:line="240" w:lineRule="atLeast"/>
            </w:pPr>
          </w:p>
        </w:tc>
      </w:tr>
      <w:tr w14:paraId="6AEBD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222" w:type="dxa"/>
            <w:vMerge w:val="continue"/>
            <w:vAlign w:val="center"/>
          </w:tcPr>
          <w:p w14:paraId="56EB28E0">
            <w:pPr>
              <w:spacing w:line="240" w:lineRule="atLeast"/>
              <w:jc w:val="center"/>
              <w:rPr>
                <w:b/>
              </w:rPr>
            </w:pPr>
          </w:p>
        </w:tc>
        <w:tc>
          <w:tcPr>
            <w:tcW w:w="2130" w:type="dxa"/>
            <w:tcMar>
              <w:left w:w="20" w:type="dxa"/>
              <w:right w:w="20" w:type="dxa"/>
            </w:tcMar>
            <w:vAlign w:val="center"/>
          </w:tcPr>
          <w:p w14:paraId="5E94B3E9">
            <w:pPr>
              <w:spacing w:line="3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落实意识形态工作</w:t>
            </w:r>
          </w:p>
          <w:p w14:paraId="321263A3">
            <w:pPr>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责任制</w:t>
            </w:r>
          </w:p>
        </w:tc>
        <w:tc>
          <w:tcPr>
            <w:tcW w:w="6093" w:type="dxa"/>
            <w:vAlign w:val="center"/>
          </w:tcPr>
          <w:p w14:paraId="06934D11">
            <w:pPr>
              <w:keepNext w:val="0"/>
              <w:keepLines w:val="0"/>
              <w:pageBreakBefore w:val="0"/>
              <w:kinsoku/>
              <w:wordWrap/>
              <w:overflowPunct/>
              <w:topLinePunct w:val="0"/>
              <w:autoSpaceDE/>
              <w:autoSpaceDN/>
              <w:bidi w:val="0"/>
              <w:adjustRightInd/>
              <w:snapToGrid/>
              <w:spacing w:line="240" w:lineRule="atLeast"/>
              <w:ind w:left="0" w:leftChars="0"/>
              <w:textAlignment w:val="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1.抓好意识形态工作目标责任书相关责任落实；2.建立和完善二级学院党委（党总支）意识形态工作领导小组，责任分解落实到位；定期开展专题研究、情况通报、分析研判，并以书面形式报送备案；3.加强校园教学阵地、学术阵地、文化阵地、宣传阵地、网络阵地、活动阵地等各类意识形态阵地管理，尤其要做好讲座论坛、报告会的审批、报备与管理工作；4.做好网络意识形态安全工作，强化涉校涉院舆情常态化关注与应对，做好舆论引导、预警、</w:t>
            </w:r>
            <w:r>
              <w:rPr>
                <w:rFonts w:hint="eastAsia"/>
                <w:color w:val="000000" w:themeColor="text1"/>
                <w:sz w:val="21"/>
                <w:szCs w:val="21"/>
                <w14:textFill>
                  <w14:solidFill>
                    <w14:schemeClr w14:val="tx1"/>
                  </w14:solidFill>
                </w14:textFill>
              </w:rPr>
              <w:t>协同</w:t>
            </w:r>
            <w:r>
              <w:rPr>
                <w:rFonts w:hint="eastAsia"/>
                <w:color w:val="000000" w:themeColor="text1"/>
                <w:kern w:val="0"/>
                <w:sz w:val="21"/>
                <w:szCs w:val="21"/>
                <w14:textFill>
                  <w14:solidFill>
                    <w14:schemeClr w14:val="tx1"/>
                  </w14:solidFill>
                </w14:textFill>
              </w:rPr>
              <w:t>处置工作</w:t>
            </w:r>
            <w:r>
              <w:rPr>
                <w:rFonts w:hint="eastAsia"/>
                <w:color w:val="000000" w:themeColor="text1"/>
                <w:spacing w:val="-4"/>
                <w:kern w:val="0"/>
                <w:sz w:val="21"/>
                <w:szCs w:val="21"/>
                <w14:textFill>
                  <w14:solidFill>
                    <w14:schemeClr w14:val="tx1"/>
                  </w14:solidFill>
                </w14:textFill>
              </w:rPr>
              <w:t>；5.做好国际化办学过程中的意识形态风险隐患排查与防范工作。</w:t>
            </w:r>
          </w:p>
        </w:tc>
        <w:tc>
          <w:tcPr>
            <w:tcW w:w="1023" w:type="dxa"/>
            <w:tcMar>
              <w:left w:w="20" w:type="dxa"/>
              <w:right w:w="20" w:type="dxa"/>
            </w:tcMar>
            <w:vAlign w:val="center"/>
          </w:tcPr>
          <w:p w14:paraId="04E66162">
            <w:pPr>
              <w:spacing w:line="240" w:lineRule="atLeast"/>
            </w:pPr>
          </w:p>
        </w:tc>
      </w:tr>
      <w:tr w14:paraId="0D5B2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22" w:type="dxa"/>
            <w:vMerge w:val="continue"/>
            <w:vAlign w:val="center"/>
          </w:tcPr>
          <w:p w14:paraId="56C4846C">
            <w:pPr>
              <w:spacing w:line="240" w:lineRule="atLeast"/>
              <w:jc w:val="center"/>
              <w:rPr>
                <w:b/>
              </w:rPr>
            </w:pPr>
          </w:p>
        </w:tc>
        <w:tc>
          <w:tcPr>
            <w:tcW w:w="2130" w:type="dxa"/>
            <w:tcMar>
              <w:left w:w="20" w:type="dxa"/>
              <w:right w:w="20" w:type="dxa"/>
            </w:tcMar>
            <w:vAlign w:val="center"/>
          </w:tcPr>
          <w:p w14:paraId="0D634838">
            <w:pPr>
              <w:spacing w:line="3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做好正面思想舆论</w:t>
            </w:r>
          </w:p>
          <w:p w14:paraId="7DEF08C9">
            <w:pPr>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宣传引导与精神文明建设</w:t>
            </w:r>
          </w:p>
        </w:tc>
        <w:tc>
          <w:tcPr>
            <w:tcW w:w="6093" w:type="dxa"/>
            <w:vAlign w:val="center"/>
          </w:tcPr>
          <w:p w14:paraId="73B80CE0">
            <w:pPr>
              <w:keepNext w:val="0"/>
              <w:keepLines w:val="0"/>
              <w:pageBreakBefore w:val="0"/>
              <w:widowControl/>
              <w:kinsoku/>
              <w:wordWrap/>
              <w:overflowPunct/>
              <w:topLinePunct w:val="0"/>
              <w:autoSpaceDE/>
              <w:autoSpaceDN/>
              <w:bidi w:val="0"/>
              <w:adjustRightInd/>
              <w:snapToGrid/>
              <w:spacing w:line="240" w:lineRule="atLeast"/>
              <w:ind w:left="0" w:leftChars="0"/>
              <w:textAlignment w:val="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1.加强学院立德树人、办学成果的宣传推介工作。抓好正面舆论引导</w:t>
            </w:r>
            <w:r>
              <w:rPr>
                <w:rFonts w:hint="eastAsia"/>
                <w:color w:val="000000" w:themeColor="text1"/>
                <w:spacing w:val="-4"/>
                <w:kern w:val="0"/>
                <w:sz w:val="21"/>
                <w:szCs w:val="21"/>
                <w14:textFill>
                  <w14:solidFill>
                    <w14:schemeClr w14:val="tx1"/>
                  </w14:solidFill>
                </w14:textFill>
              </w:rPr>
              <w:t>工作，内宣工作规范有效，外宣工作彰显特色；</w:t>
            </w:r>
            <w:r>
              <w:rPr>
                <w:rFonts w:hint="eastAsia"/>
                <w:color w:val="000000" w:themeColor="text1"/>
                <w:kern w:val="0"/>
                <w:sz w:val="21"/>
                <w:szCs w:val="21"/>
                <w14:textFill>
                  <w14:solidFill>
                    <w14:schemeClr w14:val="tx1"/>
                  </w14:solidFill>
                </w14:textFill>
              </w:rPr>
              <w:t>2.积极参与校网络思想政治工作中心建设各项任务，积极参与“一节一推选”、年度全校宣传思想文化工作创新案例征集展示等活动，做好优秀网络文化作品的培育、宣传和推介工作；</w:t>
            </w:r>
            <w:r>
              <w:rPr>
                <w:rFonts w:hint="eastAsia"/>
                <w:color w:val="000000" w:themeColor="text1"/>
                <w:spacing w:val="-4"/>
                <w:kern w:val="0"/>
                <w:sz w:val="21"/>
                <w:szCs w:val="21"/>
                <w14:textFill>
                  <w14:solidFill>
                    <w14:schemeClr w14:val="tx1"/>
                  </w14:solidFill>
                </w14:textFill>
              </w:rPr>
              <w:t>3.建好、管好本单位二级网站、官方微信公众号等新媒体平台、新闻发布与舆论引导队伍；4.积极参与</w:t>
            </w:r>
            <w:r>
              <w:rPr>
                <w:rFonts w:hint="eastAsia"/>
                <w:color w:val="000000" w:themeColor="text1"/>
                <w:kern w:val="0"/>
                <w:sz w:val="21"/>
                <w:szCs w:val="21"/>
                <w14:textFill>
                  <w14:solidFill>
                    <w14:schemeClr w14:val="tx1"/>
                  </w14:solidFill>
                </w14:textFill>
              </w:rPr>
              <w:t>文明校园创建</w:t>
            </w:r>
            <w:r>
              <w:rPr>
                <w:rFonts w:hint="eastAsia"/>
                <w:color w:val="000000" w:themeColor="text1"/>
                <w:sz w:val="21"/>
                <w:szCs w:val="21"/>
                <w14:textFill>
                  <w14:solidFill>
                    <w14:schemeClr w14:val="tx1"/>
                  </w14:solidFill>
                </w14:textFill>
              </w:rPr>
              <w:t>、校史馆建设等校园文化建设。</w:t>
            </w:r>
            <w:r>
              <w:rPr>
                <w:rFonts w:hint="eastAsia"/>
                <w:color w:val="000000" w:themeColor="text1"/>
                <w:kern w:val="0"/>
                <w:sz w:val="21"/>
                <w:szCs w:val="21"/>
                <w14:textFill>
                  <w14:solidFill>
                    <w14:schemeClr w14:val="tx1"/>
                  </w14:solidFill>
                </w14:textFill>
              </w:rPr>
              <w:t>开展师生法治教育。</w:t>
            </w:r>
          </w:p>
        </w:tc>
        <w:tc>
          <w:tcPr>
            <w:tcW w:w="1023" w:type="dxa"/>
            <w:tcMar>
              <w:left w:w="20" w:type="dxa"/>
              <w:right w:w="20" w:type="dxa"/>
            </w:tcMar>
            <w:vAlign w:val="center"/>
          </w:tcPr>
          <w:p w14:paraId="41EAC093">
            <w:pPr>
              <w:spacing w:line="240" w:lineRule="atLeast"/>
            </w:pPr>
          </w:p>
        </w:tc>
      </w:tr>
      <w:tr w14:paraId="77548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22" w:type="dxa"/>
            <w:vMerge w:val="restart"/>
            <w:vAlign w:val="center"/>
          </w:tcPr>
          <w:p w14:paraId="1988C639">
            <w:pPr>
              <w:spacing w:line="240" w:lineRule="atLeast"/>
              <w:jc w:val="center"/>
              <w:rPr>
                <w:rFonts w:hint="eastAsia"/>
                <w:b/>
                <w:lang w:eastAsia="zh-CN"/>
              </w:rPr>
            </w:pPr>
            <w:r>
              <w:rPr>
                <w:rFonts w:hint="eastAsia"/>
                <w:b/>
              </w:rPr>
              <w:t>六、</w:t>
            </w:r>
            <w:r>
              <w:rPr>
                <w:rFonts w:hint="eastAsia"/>
                <w:b/>
                <w:lang w:eastAsia="zh-CN"/>
              </w:rPr>
              <w:t>党风</w:t>
            </w:r>
          </w:p>
          <w:p w14:paraId="668D872E">
            <w:pPr>
              <w:spacing w:line="240" w:lineRule="atLeast"/>
              <w:jc w:val="center"/>
              <w:rPr>
                <w:b/>
              </w:rPr>
            </w:pPr>
            <w:r>
              <w:rPr>
                <w:rFonts w:hint="eastAsia"/>
                <w:b/>
              </w:rPr>
              <w:t>廉政建设</w:t>
            </w:r>
            <w:r>
              <w:rPr>
                <w:rFonts w:hint="eastAsia"/>
                <w:b/>
                <w:color w:val="FF0000"/>
              </w:rPr>
              <w:t>（纪委办）</w:t>
            </w:r>
          </w:p>
        </w:tc>
        <w:tc>
          <w:tcPr>
            <w:tcW w:w="2130" w:type="dxa"/>
            <w:vMerge w:val="restart"/>
            <w:tcMar>
              <w:left w:w="20" w:type="dxa"/>
              <w:right w:w="20" w:type="dxa"/>
            </w:tcMar>
            <w:vAlign w:val="center"/>
          </w:tcPr>
          <w:p w14:paraId="23AA1C9C">
            <w:pPr>
              <w:spacing w:line="300" w:lineRule="exact"/>
              <w:jc w:val="center"/>
            </w:pPr>
            <w:r>
              <w:rPr>
                <w:rFonts w:hint="eastAsia"/>
              </w:rPr>
              <w:t>加强组织领导</w:t>
            </w:r>
          </w:p>
        </w:tc>
        <w:tc>
          <w:tcPr>
            <w:tcW w:w="6093" w:type="dxa"/>
            <w:vAlign w:val="center"/>
          </w:tcPr>
          <w:p w14:paraId="75DB68DD">
            <w:pPr>
              <w:keepNext w:val="0"/>
              <w:keepLines w:val="0"/>
              <w:pageBreakBefore w:val="0"/>
              <w:kinsoku/>
              <w:wordWrap/>
              <w:overflowPunct/>
              <w:topLinePunct w:val="0"/>
              <w:autoSpaceDE/>
              <w:autoSpaceDN/>
              <w:bidi w:val="0"/>
              <w:adjustRightInd/>
              <w:snapToGrid/>
              <w:spacing w:line="240" w:lineRule="atLeast"/>
              <w:ind w:left="0" w:leftChars="0"/>
              <w:textAlignment w:val="auto"/>
              <w:rPr>
                <w:sz w:val="21"/>
                <w:szCs w:val="21"/>
              </w:rPr>
            </w:pPr>
            <w:r>
              <w:rPr>
                <w:rFonts w:hint="eastAsia"/>
                <w:sz w:val="21"/>
                <w:szCs w:val="21"/>
              </w:rPr>
              <w:t>根据学校全面从严治党工作部署，制订基层党委的工作目标和计划。专题研究本单位党风廉政建设情况，推动全面从严治党与业务工作同谋划、同部署、同推进、同落实。</w:t>
            </w:r>
          </w:p>
        </w:tc>
        <w:tc>
          <w:tcPr>
            <w:tcW w:w="1023" w:type="dxa"/>
            <w:tcMar>
              <w:left w:w="20" w:type="dxa"/>
              <w:right w:w="20" w:type="dxa"/>
            </w:tcMar>
            <w:vAlign w:val="center"/>
          </w:tcPr>
          <w:p w14:paraId="475AEEAF">
            <w:pPr>
              <w:spacing w:line="240" w:lineRule="atLeast"/>
            </w:pPr>
          </w:p>
        </w:tc>
      </w:tr>
      <w:tr w14:paraId="3A68FA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487AC908">
            <w:pPr>
              <w:spacing w:line="240" w:lineRule="atLeast"/>
              <w:jc w:val="center"/>
              <w:rPr>
                <w:b/>
              </w:rPr>
            </w:pPr>
          </w:p>
        </w:tc>
        <w:tc>
          <w:tcPr>
            <w:tcW w:w="2130" w:type="dxa"/>
            <w:vMerge w:val="continue"/>
            <w:tcMar>
              <w:left w:w="20" w:type="dxa"/>
              <w:right w:w="20" w:type="dxa"/>
            </w:tcMar>
            <w:vAlign w:val="center"/>
          </w:tcPr>
          <w:p w14:paraId="4E3CFA8A">
            <w:pPr>
              <w:spacing w:line="300" w:lineRule="exact"/>
              <w:jc w:val="center"/>
            </w:pPr>
          </w:p>
        </w:tc>
        <w:tc>
          <w:tcPr>
            <w:tcW w:w="6093" w:type="dxa"/>
            <w:vAlign w:val="center"/>
          </w:tcPr>
          <w:p w14:paraId="60E1E2C6">
            <w:pPr>
              <w:keepNext w:val="0"/>
              <w:keepLines w:val="0"/>
              <w:pageBreakBefore w:val="0"/>
              <w:kinsoku/>
              <w:wordWrap/>
              <w:overflowPunct/>
              <w:topLinePunct w:val="0"/>
              <w:autoSpaceDE/>
              <w:autoSpaceDN/>
              <w:bidi w:val="0"/>
              <w:adjustRightInd/>
              <w:snapToGrid/>
              <w:spacing w:line="240" w:lineRule="atLeast"/>
              <w:ind w:left="0" w:leftChars="0"/>
              <w:textAlignment w:val="auto"/>
              <w:rPr>
                <w:sz w:val="21"/>
                <w:szCs w:val="21"/>
              </w:rPr>
            </w:pPr>
            <w:r>
              <w:rPr>
                <w:rFonts w:hint="eastAsia"/>
                <w:sz w:val="21"/>
                <w:szCs w:val="21"/>
              </w:rPr>
              <w:t>根据学校部署要求，制订年度</w:t>
            </w:r>
            <w:r>
              <w:rPr>
                <w:sz w:val="21"/>
                <w:szCs w:val="21"/>
              </w:rPr>
              <w:t>书记全面从严治党“第一责任人”、其他班子成员全面从严治党“一岗双责”责任</w:t>
            </w:r>
            <w:r>
              <w:rPr>
                <w:rFonts w:hint="eastAsia"/>
                <w:sz w:val="21"/>
                <w:szCs w:val="21"/>
              </w:rPr>
              <w:t>清单，发挥纪检委员作用，监督班子主体责任落实。</w:t>
            </w:r>
          </w:p>
        </w:tc>
        <w:tc>
          <w:tcPr>
            <w:tcW w:w="1023" w:type="dxa"/>
            <w:tcMar>
              <w:left w:w="20" w:type="dxa"/>
              <w:right w:w="20" w:type="dxa"/>
            </w:tcMar>
            <w:vAlign w:val="center"/>
          </w:tcPr>
          <w:p w14:paraId="41AA49C7">
            <w:pPr>
              <w:spacing w:line="240" w:lineRule="atLeast"/>
            </w:pPr>
          </w:p>
        </w:tc>
      </w:tr>
      <w:tr w14:paraId="01156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22" w:type="dxa"/>
            <w:vMerge w:val="continue"/>
            <w:vAlign w:val="center"/>
          </w:tcPr>
          <w:p w14:paraId="14B0F312">
            <w:pPr>
              <w:spacing w:line="240" w:lineRule="atLeast"/>
              <w:jc w:val="center"/>
              <w:rPr>
                <w:b/>
              </w:rPr>
            </w:pPr>
          </w:p>
        </w:tc>
        <w:tc>
          <w:tcPr>
            <w:tcW w:w="2130" w:type="dxa"/>
            <w:vMerge w:val="continue"/>
            <w:tcMar>
              <w:left w:w="20" w:type="dxa"/>
              <w:right w:w="20" w:type="dxa"/>
            </w:tcMar>
            <w:vAlign w:val="center"/>
          </w:tcPr>
          <w:p w14:paraId="0F2F7A57">
            <w:pPr>
              <w:spacing w:line="300" w:lineRule="exact"/>
              <w:jc w:val="center"/>
            </w:pPr>
          </w:p>
        </w:tc>
        <w:tc>
          <w:tcPr>
            <w:tcW w:w="6093" w:type="dxa"/>
            <w:vAlign w:val="center"/>
          </w:tcPr>
          <w:p w14:paraId="72F1B00C">
            <w:pPr>
              <w:keepNext w:val="0"/>
              <w:keepLines w:val="0"/>
              <w:pageBreakBefore w:val="0"/>
              <w:kinsoku/>
              <w:wordWrap/>
              <w:overflowPunct/>
              <w:topLinePunct w:val="0"/>
              <w:autoSpaceDE/>
              <w:autoSpaceDN/>
              <w:bidi w:val="0"/>
              <w:adjustRightInd/>
              <w:snapToGrid/>
              <w:spacing w:line="240" w:lineRule="atLeast"/>
              <w:ind w:left="0" w:leftChars="0"/>
              <w:textAlignment w:val="auto"/>
              <w:rPr>
                <w:sz w:val="21"/>
                <w:szCs w:val="21"/>
              </w:rPr>
            </w:pPr>
            <w:r>
              <w:rPr>
                <w:rFonts w:hint="eastAsia"/>
                <w:sz w:val="21"/>
                <w:szCs w:val="21"/>
              </w:rPr>
              <w:t>认真做好廉政教育和廉洁教育，参与校园廉洁文化活动。</w:t>
            </w:r>
          </w:p>
        </w:tc>
        <w:tc>
          <w:tcPr>
            <w:tcW w:w="1023" w:type="dxa"/>
            <w:tcMar>
              <w:left w:w="20" w:type="dxa"/>
              <w:right w:w="20" w:type="dxa"/>
            </w:tcMar>
            <w:vAlign w:val="center"/>
          </w:tcPr>
          <w:p w14:paraId="7FB2374D">
            <w:pPr>
              <w:spacing w:line="240" w:lineRule="atLeast"/>
            </w:pPr>
          </w:p>
        </w:tc>
      </w:tr>
      <w:tr w14:paraId="1934A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222" w:type="dxa"/>
            <w:vMerge w:val="continue"/>
            <w:vAlign w:val="center"/>
          </w:tcPr>
          <w:p w14:paraId="64954C0B">
            <w:pPr>
              <w:spacing w:line="240" w:lineRule="atLeast"/>
              <w:jc w:val="center"/>
              <w:rPr>
                <w:b/>
              </w:rPr>
            </w:pPr>
          </w:p>
        </w:tc>
        <w:tc>
          <w:tcPr>
            <w:tcW w:w="2130" w:type="dxa"/>
            <w:vMerge w:val="restart"/>
            <w:tcMar>
              <w:left w:w="20" w:type="dxa"/>
              <w:right w:w="20" w:type="dxa"/>
            </w:tcMar>
            <w:vAlign w:val="center"/>
          </w:tcPr>
          <w:p w14:paraId="44776FAE">
            <w:pPr>
              <w:snapToGrid w:val="0"/>
              <w:spacing w:line="300" w:lineRule="exact"/>
              <w:jc w:val="center"/>
            </w:pPr>
            <w:r>
              <w:rPr>
                <w:rFonts w:hint="eastAsia"/>
              </w:rPr>
              <w:t>抓好作风建设</w:t>
            </w:r>
          </w:p>
        </w:tc>
        <w:tc>
          <w:tcPr>
            <w:tcW w:w="6093" w:type="dxa"/>
            <w:vAlign w:val="center"/>
          </w:tcPr>
          <w:p w14:paraId="45400B9C">
            <w:pPr>
              <w:keepNext w:val="0"/>
              <w:keepLines w:val="0"/>
              <w:pageBreakBefore w:val="0"/>
              <w:kinsoku/>
              <w:wordWrap/>
              <w:overflowPunct/>
              <w:topLinePunct w:val="0"/>
              <w:autoSpaceDE/>
              <w:autoSpaceDN/>
              <w:bidi w:val="0"/>
              <w:adjustRightInd/>
              <w:snapToGrid/>
              <w:spacing w:line="240" w:lineRule="atLeast"/>
              <w:ind w:left="0" w:leftChars="0"/>
              <w:textAlignment w:val="auto"/>
              <w:rPr>
                <w:sz w:val="21"/>
                <w:szCs w:val="21"/>
              </w:rPr>
            </w:pPr>
            <w:r>
              <w:rPr>
                <w:rFonts w:hint="eastAsia"/>
                <w:sz w:val="21"/>
                <w:szCs w:val="21"/>
              </w:rPr>
              <w:t>深入贯彻中央八项规定、省委十项规定和市委实施意见精神，坚决防止享乐主义、奢靡之风反弹回潮，持续整治形式主义、官僚主义。年度内学院和所辖党支部至少集中开展党纪党规学习</w:t>
            </w:r>
            <w:r>
              <w:rPr>
                <w:rFonts w:hint="eastAsia"/>
                <w:color w:val="FF0000"/>
                <w:sz w:val="21"/>
                <w:szCs w:val="21"/>
                <w:lang w:val="en-US" w:eastAsia="zh-CN"/>
              </w:rPr>
              <w:t>X</w:t>
            </w:r>
            <w:r>
              <w:rPr>
                <w:rFonts w:hint="eastAsia"/>
                <w:sz w:val="21"/>
                <w:szCs w:val="21"/>
              </w:rPr>
              <w:t>次，开展警示教育活动</w:t>
            </w:r>
            <w:r>
              <w:rPr>
                <w:rFonts w:hint="eastAsia"/>
                <w:color w:val="FF0000"/>
                <w:sz w:val="21"/>
                <w:szCs w:val="21"/>
                <w:lang w:val="en-US" w:eastAsia="zh-CN"/>
              </w:rPr>
              <w:t>X</w:t>
            </w:r>
            <w:r>
              <w:rPr>
                <w:rFonts w:hint="eastAsia"/>
                <w:sz w:val="21"/>
                <w:szCs w:val="21"/>
              </w:rPr>
              <w:t>次，推进党纪学习教育常态化长效化。</w:t>
            </w:r>
          </w:p>
        </w:tc>
        <w:tc>
          <w:tcPr>
            <w:tcW w:w="1023" w:type="dxa"/>
            <w:tcMar>
              <w:left w:w="20" w:type="dxa"/>
              <w:right w:w="20" w:type="dxa"/>
            </w:tcMar>
            <w:vAlign w:val="center"/>
          </w:tcPr>
          <w:p w14:paraId="132749DD">
            <w:pPr>
              <w:spacing w:line="240" w:lineRule="atLeast"/>
            </w:pPr>
          </w:p>
        </w:tc>
      </w:tr>
      <w:tr w14:paraId="1B3DE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2DE66222">
            <w:pPr>
              <w:spacing w:line="240" w:lineRule="atLeast"/>
              <w:jc w:val="center"/>
              <w:rPr>
                <w:b/>
              </w:rPr>
            </w:pPr>
          </w:p>
        </w:tc>
        <w:tc>
          <w:tcPr>
            <w:tcW w:w="2130" w:type="dxa"/>
            <w:vMerge w:val="continue"/>
            <w:tcMar>
              <w:left w:w="20" w:type="dxa"/>
              <w:right w:w="20" w:type="dxa"/>
            </w:tcMar>
            <w:vAlign w:val="center"/>
          </w:tcPr>
          <w:p w14:paraId="6679F8C5">
            <w:pPr>
              <w:spacing w:line="300" w:lineRule="exact"/>
              <w:jc w:val="center"/>
            </w:pPr>
          </w:p>
        </w:tc>
        <w:tc>
          <w:tcPr>
            <w:tcW w:w="6093" w:type="dxa"/>
            <w:vAlign w:val="center"/>
          </w:tcPr>
          <w:p w14:paraId="3A63669C">
            <w:pPr>
              <w:keepNext w:val="0"/>
              <w:keepLines w:val="0"/>
              <w:pageBreakBefore w:val="0"/>
              <w:kinsoku/>
              <w:wordWrap/>
              <w:overflowPunct/>
              <w:topLinePunct w:val="0"/>
              <w:autoSpaceDE/>
              <w:autoSpaceDN/>
              <w:bidi w:val="0"/>
              <w:adjustRightInd/>
              <w:snapToGrid/>
              <w:spacing w:line="240" w:lineRule="atLeast"/>
              <w:ind w:left="0" w:leftChars="0"/>
              <w:textAlignment w:val="auto"/>
              <w:rPr>
                <w:sz w:val="21"/>
                <w:szCs w:val="21"/>
              </w:rPr>
            </w:pPr>
            <w:r>
              <w:rPr>
                <w:rFonts w:hint="eastAsia"/>
                <w:sz w:val="21"/>
                <w:szCs w:val="21"/>
              </w:rPr>
              <w:t>支持配合机关作风提升计划实施，改进作风，定期接访、联系师生、调查研究。</w:t>
            </w:r>
          </w:p>
        </w:tc>
        <w:tc>
          <w:tcPr>
            <w:tcW w:w="1023" w:type="dxa"/>
            <w:tcMar>
              <w:left w:w="20" w:type="dxa"/>
              <w:right w:w="20" w:type="dxa"/>
            </w:tcMar>
            <w:vAlign w:val="center"/>
          </w:tcPr>
          <w:p w14:paraId="4C4A01CE">
            <w:pPr>
              <w:spacing w:line="240" w:lineRule="atLeast"/>
            </w:pPr>
          </w:p>
        </w:tc>
      </w:tr>
      <w:tr w14:paraId="22054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22" w:type="dxa"/>
            <w:vMerge w:val="continue"/>
            <w:vAlign w:val="center"/>
          </w:tcPr>
          <w:p w14:paraId="1C30FFEF">
            <w:pPr>
              <w:spacing w:line="240" w:lineRule="atLeast"/>
              <w:jc w:val="center"/>
              <w:rPr>
                <w:b/>
              </w:rPr>
            </w:pPr>
          </w:p>
        </w:tc>
        <w:tc>
          <w:tcPr>
            <w:tcW w:w="2130" w:type="dxa"/>
            <w:vMerge w:val="continue"/>
            <w:tcMar>
              <w:left w:w="20" w:type="dxa"/>
              <w:right w:w="20" w:type="dxa"/>
            </w:tcMar>
            <w:vAlign w:val="center"/>
          </w:tcPr>
          <w:p w14:paraId="4B000716">
            <w:pPr>
              <w:spacing w:line="300" w:lineRule="exact"/>
              <w:jc w:val="center"/>
            </w:pPr>
          </w:p>
        </w:tc>
        <w:tc>
          <w:tcPr>
            <w:tcW w:w="6093" w:type="dxa"/>
            <w:vAlign w:val="center"/>
          </w:tcPr>
          <w:p w14:paraId="62CBF3C6">
            <w:pPr>
              <w:keepNext w:val="0"/>
              <w:keepLines w:val="0"/>
              <w:pageBreakBefore w:val="0"/>
              <w:kinsoku/>
              <w:wordWrap/>
              <w:overflowPunct/>
              <w:topLinePunct w:val="0"/>
              <w:autoSpaceDE/>
              <w:autoSpaceDN/>
              <w:bidi w:val="0"/>
              <w:adjustRightInd/>
              <w:snapToGrid/>
              <w:spacing w:line="240" w:lineRule="atLeast"/>
              <w:ind w:left="0" w:leftChars="0"/>
              <w:textAlignment w:val="auto"/>
              <w:rPr>
                <w:sz w:val="21"/>
                <w:szCs w:val="21"/>
              </w:rPr>
            </w:pPr>
            <w:r>
              <w:rPr>
                <w:rFonts w:hint="eastAsia"/>
                <w:sz w:val="21"/>
                <w:szCs w:val="21"/>
              </w:rPr>
              <w:t>持续开展“我为师生办实事”行动，切实解决师生员工普遍关注的突出问题。</w:t>
            </w:r>
          </w:p>
        </w:tc>
        <w:tc>
          <w:tcPr>
            <w:tcW w:w="1023" w:type="dxa"/>
            <w:tcMar>
              <w:left w:w="20" w:type="dxa"/>
              <w:right w:w="20" w:type="dxa"/>
            </w:tcMar>
            <w:vAlign w:val="center"/>
          </w:tcPr>
          <w:p w14:paraId="372E5969">
            <w:pPr>
              <w:spacing w:line="240" w:lineRule="atLeast"/>
            </w:pPr>
          </w:p>
        </w:tc>
      </w:tr>
      <w:tr w14:paraId="087DF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351E5992">
            <w:pPr>
              <w:spacing w:line="240" w:lineRule="atLeast"/>
              <w:jc w:val="center"/>
              <w:rPr>
                <w:b/>
              </w:rPr>
            </w:pPr>
          </w:p>
        </w:tc>
        <w:tc>
          <w:tcPr>
            <w:tcW w:w="2130" w:type="dxa"/>
            <w:vMerge w:val="restart"/>
            <w:tcMar>
              <w:left w:w="20" w:type="dxa"/>
              <w:right w:w="20" w:type="dxa"/>
            </w:tcMar>
            <w:vAlign w:val="center"/>
          </w:tcPr>
          <w:p w14:paraId="31890831">
            <w:pPr>
              <w:snapToGrid w:val="0"/>
              <w:spacing w:line="300" w:lineRule="exact"/>
              <w:jc w:val="center"/>
            </w:pPr>
            <w:r>
              <w:rPr>
                <w:rFonts w:hint="eastAsia"/>
              </w:rPr>
              <w:t>强化权力制约监督</w:t>
            </w:r>
          </w:p>
        </w:tc>
        <w:tc>
          <w:tcPr>
            <w:tcW w:w="6093" w:type="dxa"/>
            <w:vAlign w:val="center"/>
          </w:tcPr>
          <w:p w14:paraId="130DEF67">
            <w:pPr>
              <w:keepNext w:val="0"/>
              <w:keepLines w:val="0"/>
              <w:pageBreakBefore w:val="0"/>
              <w:kinsoku/>
              <w:wordWrap/>
              <w:overflowPunct/>
              <w:topLinePunct w:val="0"/>
              <w:autoSpaceDE/>
              <w:autoSpaceDN/>
              <w:bidi w:val="0"/>
              <w:adjustRightInd/>
              <w:snapToGrid/>
              <w:spacing w:line="240" w:lineRule="atLeast"/>
              <w:ind w:left="0" w:leftChars="0"/>
              <w:textAlignment w:val="auto"/>
              <w:rPr>
                <w:sz w:val="21"/>
                <w:szCs w:val="21"/>
              </w:rPr>
            </w:pPr>
            <w:r>
              <w:rPr>
                <w:rFonts w:hint="eastAsia"/>
                <w:sz w:val="21"/>
                <w:szCs w:val="21"/>
              </w:rPr>
              <w:t>牢固树立和践行正确政绩观，严格执行“三重一大”决策制度、二级学院党组织委员会会议议事规则和党政联席会议议事规则，贯彻落实民主集中制。</w:t>
            </w:r>
          </w:p>
        </w:tc>
        <w:tc>
          <w:tcPr>
            <w:tcW w:w="1023" w:type="dxa"/>
            <w:tcMar>
              <w:left w:w="20" w:type="dxa"/>
              <w:right w:w="20" w:type="dxa"/>
            </w:tcMar>
            <w:vAlign w:val="center"/>
          </w:tcPr>
          <w:p w14:paraId="154AEC51">
            <w:pPr>
              <w:spacing w:line="240" w:lineRule="atLeast"/>
            </w:pPr>
          </w:p>
        </w:tc>
      </w:tr>
      <w:tr w14:paraId="48CBD0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2" w:type="dxa"/>
            <w:vMerge w:val="continue"/>
            <w:vAlign w:val="center"/>
          </w:tcPr>
          <w:p w14:paraId="0AC5D337">
            <w:pPr>
              <w:spacing w:line="240" w:lineRule="atLeast"/>
              <w:jc w:val="center"/>
              <w:rPr>
                <w:b/>
              </w:rPr>
            </w:pPr>
          </w:p>
        </w:tc>
        <w:tc>
          <w:tcPr>
            <w:tcW w:w="2130" w:type="dxa"/>
            <w:vMerge w:val="continue"/>
            <w:tcMar>
              <w:left w:w="20" w:type="dxa"/>
              <w:right w:w="20" w:type="dxa"/>
            </w:tcMar>
            <w:vAlign w:val="center"/>
          </w:tcPr>
          <w:p w14:paraId="0B98C77E">
            <w:pPr>
              <w:spacing w:line="300" w:lineRule="exact"/>
              <w:jc w:val="center"/>
            </w:pPr>
          </w:p>
        </w:tc>
        <w:tc>
          <w:tcPr>
            <w:tcW w:w="6093" w:type="dxa"/>
            <w:vAlign w:val="center"/>
          </w:tcPr>
          <w:p w14:paraId="56CF45C7">
            <w:pPr>
              <w:keepNext w:val="0"/>
              <w:keepLines w:val="0"/>
              <w:pageBreakBefore w:val="0"/>
              <w:kinsoku/>
              <w:wordWrap/>
              <w:overflowPunct/>
              <w:topLinePunct w:val="0"/>
              <w:autoSpaceDE/>
              <w:autoSpaceDN/>
              <w:bidi w:val="0"/>
              <w:adjustRightInd/>
              <w:snapToGrid/>
              <w:spacing w:line="240" w:lineRule="atLeast"/>
              <w:ind w:left="0" w:leftChars="0"/>
              <w:textAlignment w:val="auto"/>
              <w:rPr>
                <w:sz w:val="21"/>
                <w:szCs w:val="21"/>
              </w:rPr>
            </w:pPr>
            <w:r>
              <w:rPr>
                <w:rFonts w:hint="eastAsia"/>
                <w:sz w:val="21"/>
                <w:szCs w:val="21"/>
              </w:rPr>
              <w:t>深入推进党务、政务公开，做好本单位廉政风险点排查及防控工作。领导干部要习惯于在监督的环境中履行职责和行使权力，加强对本部门人财物、办公用房管理和使用的监督；强化领导班子内部监督。</w:t>
            </w:r>
          </w:p>
        </w:tc>
        <w:tc>
          <w:tcPr>
            <w:tcW w:w="1023" w:type="dxa"/>
            <w:tcMar>
              <w:left w:w="20" w:type="dxa"/>
              <w:right w:w="20" w:type="dxa"/>
            </w:tcMar>
            <w:vAlign w:val="center"/>
          </w:tcPr>
          <w:p w14:paraId="0180C418">
            <w:pPr>
              <w:spacing w:line="240" w:lineRule="atLeast"/>
            </w:pPr>
          </w:p>
        </w:tc>
      </w:tr>
      <w:tr w14:paraId="41301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41725004">
            <w:pPr>
              <w:spacing w:line="240" w:lineRule="atLeast"/>
              <w:jc w:val="center"/>
              <w:rPr>
                <w:b/>
              </w:rPr>
            </w:pPr>
          </w:p>
        </w:tc>
        <w:tc>
          <w:tcPr>
            <w:tcW w:w="2130" w:type="dxa"/>
            <w:vMerge w:val="restart"/>
            <w:tcMar>
              <w:left w:w="20" w:type="dxa"/>
              <w:right w:w="20" w:type="dxa"/>
            </w:tcMar>
            <w:vAlign w:val="center"/>
          </w:tcPr>
          <w:p w14:paraId="198FEE8F">
            <w:pPr>
              <w:spacing w:line="300" w:lineRule="exact"/>
              <w:jc w:val="center"/>
            </w:pPr>
            <w:r>
              <w:rPr>
                <w:rFonts w:hint="eastAsia"/>
              </w:rPr>
              <w:t>加强党内监督</w:t>
            </w:r>
          </w:p>
        </w:tc>
        <w:tc>
          <w:tcPr>
            <w:tcW w:w="6093" w:type="dxa"/>
            <w:vAlign w:val="center"/>
          </w:tcPr>
          <w:p w14:paraId="775D6022">
            <w:pPr>
              <w:keepNext w:val="0"/>
              <w:keepLines w:val="0"/>
              <w:pageBreakBefore w:val="0"/>
              <w:kinsoku/>
              <w:wordWrap/>
              <w:overflowPunct/>
              <w:topLinePunct w:val="0"/>
              <w:autoSpaceDE/>
              <w:autoSpaceDN/>
              <w:bidi w:val="0"/>
              <w:adjustRightInd/>
              <w:snapToGrid/>
              <w:spacing w:line="240" w:lineRule="atLeast"/>
              <w:ind w:left="0" w:leftChars="0"/>
              <w:textAlignment w:val="auto"/>
              <w:rPr>
                <w:sz w:val="21"/>
                <w:szCs w:val="21"/>
              </w:rPr>
            </w:pPr>
            <w:r>
              <w:rPr>
                <w:rFonts w:hint="eastAsia"/>
                <w:sz w:val="21"/>
                <w:szCs w:val="21"/>
              </w:rPr>
              <w:t>严格执行《中国共产党党内监督条例》等党内法规，落实党的基层组织日常监督、党员民主监督职责。针对苗头性、倾向性问题，早发现、早提醒，准确运用监督执纪“第一种形态”。</w:t>
            </w:r>
          </w:p>
        </w:tc>
        <w:tc>
          <w:tcPr>
            <w:tcW w:w="1023" w:type="dxa"/>
            <w:tcMar>
              <w:left w:w="20" w:type="dxa"/>
              <w:right w:w="20" w:type="dxa"/>
            </w:tcMar>
            <w:vAlign w:val="center"/>
          </w:tcPr>
          <w:p w14:paraId="51D94E76">
            <w:pPr>
              <w:spacing w:line="240" w:lineRule="atLeast"/>
            </w:pPr>
          </w:p>
        </w:tc>
      </w:tr>
      <w:tr w14:paraId="14B2A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0A3E5345">
            <w:pPr>
              <w:spacing w:line="240" w:lineRule="atLeast"/>
              <w:jc w:val="center"/>
              <w:rPr>
                <w:b/>
              </w:rPr>
            </w:pPr>
          </w:p>
        </w:tc>
        <w:tc>
          <w:tcPr>
            <w:tcW w:w="2130" w:type="dxa"/>
            <w:vMerge w:val="continue"/>
            <w:tcMar>
              <w:left w:w="20" w:type="dxa"/>
              <w:right w:w="20" w:type="dxa"/>
            </w:tcMar>
            <w:vAlign w:val="center"/>
          </w:tcPr>
          <w:p w14:paraId="029A9C7F">
            <w:pPr>
              <w:spacing w:line="300" w:lineRule="exact"/>
              <w:jc w:val="center"/>
            </w:pPr>
          </w:p>
        </w:tc>
        <w:tc>
          <w:tcPr>
            <w:tcW w:w="6093" w:type="dxa"/>
            <w:vAlign w:val="center"/>
          </w:tcPr>
          <w:p w14:paraId="4BEB3492">
            <w:pPr>
              <w:keepNext w:val="0"/>
              <w:keepLines w:val="0"/>
              <w:pageBreakBefore w:val="0"/>
              <w:kinsoku/>
              <w:wordWrap/>
              <w:overflowPunct/>
              <w:topLinePunct w:val="0"/>
              <w:autoSpaceDE/>
              <w:autoSpaceDN/>
              <w:bidi w:val="0"/>
              <w:adjustRightInd/>
              <w:snapToGrid/>
              <w:spacing w:line="240" w:lineRule="atLeast"/>
              <w:ind w:left="0" w:leftChars="0"/>
              <w:textAlignment w:val="auto"/>
              <w:rPr>
                <w:sz w:val="21"/>
                <w:szCs w:val="21"/>
              </w:rPr>
            </w:pPr>
            <w:r>
              <w:rPr>
                <w:rFonts w:hint="eastAsia"/>
                <w:sz w:val="21"/>
                <w:szCs w:val="21"/>
              </w:rPr>
              <w:t>支持学校纪委和基层党组织纪检委员工作，支持纪检委员完成年度履职“六个一”要求。配合学校纪检监察部门查办信访举报和问题线索处置及案件调查等事项。</w:t>
            </w:r>
          </w:p>
        </w:tc>
        <w:tc>
          <w:tcPr>
            <w:tcW w:w="1023" w:type="dxa"/>
            <w:tcMar>
              <w:left w:w="20" w:type="dxa"/>
              <w:right w:w="20" w:type="dxa"/>
            </w:tcMar>
            <w:vAlign w:val="center"/>
          </w:tcPr>
          <w:p w14:paraId="6C3E8E86">
            <w:pPr>
              <w:spacing w:line="240" w:lineRule="atLeast"/>
            </w:pPr>
          </w:p>
        </w:tc>
      </w:tr>
      <w:tr w14:paraId="3A86D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2" w:type="dxa"/>
            <w:vMerge w:val="continue"/>
            <w:vAlign w:val="center"/>
          </w:tcPr>
          <w:p w14:paraId="67CA59BE">
            <w:pPr>
              <w:spacing w:line="240" w:lineRule="atLeast"/>
              <w:jc w:val="center"/>
              <w:rPr>
                <w:b/>
              </w:rPr>
            </w:pPr>
          </w:p>
        </w:tc>
        <w:tc>
          <w:tcPr>
            <w:tcW w:w="2130" w:type="dxa"/>
            <w:vMerge w:val="continue"/>
            <w:tcMar>
              <w:left w:w="20" w:type="dxa"/>
              <w:right w:w="20" w:type="dxa"/>
            </w:tcMar>
            <w:vAlign w:val="center"/>
          </w:tcPr>
          <w:p w14:paraId="7990C215">
            <w:pPr>
              <w:spacing w:line="300" w:lineRule="exact"/>
              <w:jc w:val="center"/>
            </w:pPr>
          </w:p>
        </w:tc>
        <w:tc>
          <w:tcPr>
            <w:tcW w:w="6093" w:type="dxa"/>
            <w:vAlign w:val="center"/>
          </w:tcPr>
          <w:p w14:paraId="1FF583C2">
            <w:pPr>
              <w:keepNext w:val="0"/>
              <w:keepLines w:val="0"/>
              <w:pageBreakBefore w:val="0"/>
              <w:kinsoku/>
              <w:wordWrap/>
              <w:overflowPunct/>
              <w:topLinePunct w:val="0"/>
              <w:autoSpaceDE/>
              <w:autoSpaceDN/>
              <w:bidi w:val="0"/>
              <w:adjustRightInd/>
              <w:snapToGrid/>
              <w:spacing w:line="240" w:lineRule="atLeast"/>
              <w:ind w:left="0" w:leftChars="0"/>
              <w:textAlignment w:val="auto"/>
              <w:rPr>
                <w:sz w:val="21"/>
                <w:szCs w:val="21"/>
              </w:rPr>
            </w:pPr>
            <w:r>
              <w:rPr>
                <w:rFonts w:hint="eastAsia"/>
                <w:sz w:val="21"/>
                <w:szCs w:val="21"/>
              </w:rPr>
              <w:t>落实年度向学校党委、纪委述党建和述责述廉工作，积极配合校内巡察工作，认真落实整改主题教育班子检视问题、审计及巡视巡察发现的问题。</w:t>
            </w:r>
          </w:p>
        </w:tc>
        <w:tc>
          <w:tcPr>
            <w:tcW w:w="1023" w:type="dxa"/>
            <w:tcMar>
              <w:left w:w="20" w:type="dxa"/>
              <w:right w:w="20" w:type="dxa"/>
            </w:tcMar>
            <w:vAlign w:val="center"/>
          </w:tcPr>
          <w:p w14:paraId="77C438A3">
            <w:pPr>
              <w:spacing w:line="240" w:lineRule="atLeast"/>
            </w:pPr>
          </w:p>
        </w:tc>
      </w:tr>
      <w:tr w14:paraId="55C2CE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222" w:type="dxa"/>
            <w:vMerge w:val="restart"/>
            <w:vAlign w:val="center"/>
          </w:tcPr>
          <w:p w14:paraId="30A00FC0">
            <w:pPr>
              <w:spacing w:line="240" w:lineRule="atLeast"/>
              <w:jc w:val="center"/>
              <w:rPr>
                <w:b/>
                <w:kern w:val="0"/>
              </w:rPr>
            </w:pPr>
            <w:r>
              <w:rPr>
                <w:rFonts w:hint="eastAsia"/>
                <w:b/>
                <w:color w:val="000000" w:themeColor="text1"/>
                <w:kern w:val="0"/>
                <w14:textFill>
                  <w14:solidFill>
                    <w14:schemeClr w14:val="tx1"/>
                  </w14:solidFill>
                </w14:textFill>
              </w:rPr>
              <w:t>七、共青团工作</w:t>
            </w:r>
            <w:r>
              <w:rPr>
                <w:rFonts w:hint="eastAsia"/>
                <w:b/>
                <w:color w:val="FF0000"/>
                <w:kern w:val="0"/>
              </w:rPr>
              <w:t>（</w:t>
            </w:r>
            <w:r>
              <w:rPr>
                <w:rFonts w:hint="eastAsia"/>
                <w:b/>
                <w:color w:val="FF0000"/>
                <w:kern w:val="0"/>
                <w:lang w:eastAsia="zh-CN"/>
              </w:rPr>
              <w:t>团委</w:t>
            </w:r>
            <w:r>
              <w:rPr>
                <w:rFonts w:hint="eastAsia"/>
                <w:b/>
                <w:color w:val="FF0000"/>
                <w:kern w:val="0"/>
              </w:rPr>
              <w:t>）</w:t>
            </w:r>
          </w:p>
        </w:tc>
        <w:tc>
          <w:tcPr>
            <w:tcW w:w="2130" w:type="dxa"/>
            <w:tcMar>
              <w:left w:w="20" w:type="dxa"/>
              <w:right w:w="20" w:type="dxa"/>
            </w:tcMar>
            <w:vAlign w:val="center"/>
          </w:tcPr>
          <w:p w14:paraId="467E45C0">
            <w:pPr>
              <w:spacing w:line="240" w:lineRule="atLeast"/>
              <w:jc w:val="center"/>
              <w:rPr>
                <w:color w:val="000000"/>
                <w:kern w:val="0"/>
              </w:rPr>
            </w:pPr>
            <w:r>
              <w:rPr>
                <w:rFonts w:eastAsiaTheme="minorEastAsia"/>
                <w:color w:val="000000" w:themeColor="text1"/>
                <w14:textFill>
                  <w14:solidFill>
                    <w14:schemeClr w14:val="tx1"/>
                  </w14:solidFill>
                </w14:textFill>
              </w:rPr>
              <w:t>提升思想引领实效</w:t>
            </w:r>
          </w:p>
        </w:tc>
        <w:tc>
          <w:tcPr>
            <w:tcW w:w="6093" w:type="dxa"/>
            <w:vAlign w:val="center"/>
          </w:tcPr>
          <w:p w14:paraId="39C6A72D">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1.常态长效开展团员和青年主题教育，引导团员和青年认真学习领会习近平新时代中国特色社会主义思想；</w:t>
            </w:r>
          </w:p>
          <w:p w14:paraId="15261C77">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2.坚持组织化学习基本方式，团支部全年至少开展</w:t>
            </w:r>
            <w:r>
              <w:rPr>
                <w:rFonts w:hint="eastAsia"/>
                <w:color w:val="FF0000"/>
                <w:sz w:val="21"/>
                <w:szCs w:val="21"/>
                <w:lang w:val="en-US" w:eastAsia="zh-CN"/>
              </w:rPr>
              <w:t>X</w:t>
            </w:r>
            <w:r>
              <w:rPr>
                <w:rFonts w:eastAsiaTheme="minorEastAsia"/>
                <w:color w:val="000000" w:themeColor="text1"/>
                <w14:textFill>
                  <w14:solidFill>
                    <w14:schemeClr w14:val="tx1"/>
                  </w14:solidFill>
                </w14:textFill>
              </w:rPr>
              <w:t>次专题学习，年底召开</w:t>
            </w:r>
            <w:r>
              <w:rPr>
                <w:rFonts w:hint="eastAsia"/>
                <w:color w:val="FF0000"/>
                <w:sz w:val="21"/>
                <w:szCs w:val="21"/>
                <w:lang w:val="en-US" w:eastAsia="zh-CN"/>
              </w:rPr>
              <w:t>X</w:t>
            </w:r>
            <w:r>
              <w:rPr>
                <w:rFonts w:eastAsiaTheme="minorEastAsia"/>
                <w:color w:val="000000" w:themeColor="text1"/>
                <w14:textFill>
                  <w14:solidFill>
                    <w14:schemeClr w14:val="tx1"/>
                  </w14:solidFill>
                </w14:textFill>
              </w:rPr>
              <w:t>次专题组织生活会；</w:t>
            </w:r>
          </w:p>
          <w:p w14:paraId="5867DA86">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3.组织开展培育和践行社会主义核心价值观系列活动；</w:t>
            </w:r>
          </w:p>
          <w:p w14:paraId="53E35AF6">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4.围绕“榜样的力量”等主题，打造校级示范课；</w:t>
            </w:r>
          </w:p>
          <w:p w14:paraId="2246C2A1">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5.聚焦学生身边的问题和诉求，报送青年学生关注热点问题、本院思政案例，定期开展学生思想动态交流研讨；</w:t>
            </w:r>
          </w:p>
          <w:p w14:paraId="1B9D5907">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6.办好院级“青马工程”培训班，推荐校院两级优秀“青马学员”作为党的发展对象；</w:t>
            </w:r>
          </w:p>
          <w:p w14:paraId="7564186C">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7.加强学院团属新媒体阵地规范管理，严格落实“三审三校”制度，做好内容审核和平台运维；</w:t>
            </w:r>
          </w:p>
          <w:p w14:paraId="1C7ECBA0">
            <w:pPr>
              <w:spacing w:line="340" w:lineRule="exact"/>
              <w:jc w:val="left"/>
              <w:rPr>
                <w:color w:val="000000"/>
                <w:kern w:val="0"/>
                <w:sz w:val="21"/>
                <w:szCs w:val="21"/>
              </w:rPr>
            </w:pPr>
            <w:r>
              <w:rPr>
                <w:rFonts w:eastAsiaTheme="minorEastAsia"/>
                <w:color w:val="000000" w:themeColor="text1"/>
                <w14:textFill>
                  <w14:solidFill>
                    <w14:schemeClr w14:val="tx1"/>
                  </w14:solidFill>
                </w14:textFill>
              </w:rPr>
              <w:t>8.做好优秀网络文化作品的创作、宣传、推介和使用。</w:t>
            </w:r>
          </w:p>
        </w:tc>
        <w:tc>
          <w:tcPr>
            <w:tcW w:w="1023" w:type="dxa"/>
            <w:tcMar>
              <w:left w:w="20" w:type="dxa"/>
              <w:right w:w="20" w:type="dxa"/>
            </w:tcMar>
            <w:vAlign w:val="center"/>
          </w:tcPr>
          <w:p w14:paraId="6E9C28CF">
            <w:pPr>
              <w:spacing w:line="240" w:lineRule="atLeast"/>
            </w:pPr>
          </w:p>
        </w:tc>
      </w:tr>
      <w:tr w14:paraId="1BDB69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2" w:type="dxa"/>
            <w:vMerge w:val="continue"/>
            <w:vAlign w:val="center"/>
          </w:tcPr>
          <w:p w14:paraId="39AD8387">
            <w:pPr>
              <w:spacing w:line="240" w:lineRule="atLeast"/>
              <w:jc w:val="center"/>
              <w:rPr>
                <w:b/>
                <w:kern w:val="0"/>
              </w:rPr>
            </w:pPr>
          </w:p>
        </w:tc>
        <w:tc>
          <w:tcPr>
            <w:tcW w:w="2130" w:type="dxa"/>
            <w:tcMar>
              <w:left w:w="20" w:type="dxa"/>
              <w:right w:w="20" w:type="dxa"/>
            </w:tcMar>
            <w:vAlign w:val="center"/>
          </w:tcPr>
          <w:p w14:paraId="2DA5DB5A">
            <w:pPr>
              <w:spacing w:line="240" w:lineRule="atLeast"/>
              <w:jc w:val="center"/>
              <w:rPr>
                <w:color w:val="000000"/>
                <w:kern w:val="0"/>
              </w:rPr>
            </w:pPr>
            <w:r>
              <w:rPr>
                <w:rFonts w:eastAsiaTheme="minorEastAsia"/>
                <w:bCs/>
                <w:color w:val="000000" w:themeColor="text1"/>
                <w14:textFill>
                  <w14:solidFill>
                    <w14:schemeClr w14:val="tx1"/>
                  </w14:solidFill>
                </w14:textFill>
              </w:rPr>
              <w:t>夯实基层组织建设</w:t>
            </w:r>
          </w:p>
        </w:tc>
        <w:tc>
          <w:tcPr>
            <w:tcW w:w="6093" w:type="dxa"/>
            <w:vAlign w:val="center"/>
          </w:tcPr>
          <w:p w14:paraId="732D756D">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1.加强团支部规范化建设，深化落实团支部工作清单，严格落实“三会两制一课”、推优入党等制度；</w:t>
            </w:r>
          </w:p>
          <w:p w14:paraId="08887C15">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2.</w:t>
            </w:r>
            <w:r>
              <w:rPr>
                <w:rFonts w:eastAsiaTheme="minorEastAsia"/>
                <w:color w:val="000000" w:themeColor="text1"/>
                <w:spacing w:val="-4"/>
                <w:sz w:val="21"/>
                <w14:textFill>
                  <w14:solidFill>
                    <w14:schemeClr w14:val="tx1"/>
                  </w14:solidFill>
                </w14:textFill>
              </w:rPr>
              <w:t>规范开展组织关系转接、对标定级、双述双评、团内评优等工作；</w:t>
            </w:r>
          </w:p>
          <w:p w14:paraId="3B9EF3BF">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3.抓好共青团主题活动，推动支持团支部聚焦小切口实施微项目。</w:t>
            </w:r>
          </w:p>
          <w:p w14:paraId="296F626B">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4.积极组织参加团委书记主题沙龙、团支部书记培训班、团干部思政技能大比武等活动；</w:t>
            </w:r>
          </w:p>
          <w:p w14:paraId="7FE46DC5">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5.高质量完成团员发展工作；</w:t>
            </w:r>
          </w:p>
          <w:p w14:paraId="11D89321">
            <w:pPr>
              <w:spacing w:line="340" w:lineRule="exact"/>
              <w:jc w:val="left"/>
              <w:rPr>
                <w:color w:val="000000"/>
                <w:kern w:val="0"/>
                <w:sz w:val="21"/>
                <w:szCs w:val="21"/>
              </w:rPr>
            </w:pPr>
            <w:r>
              <w:rPr>
                <w:rFonts w:eastAsiaTheme="minorEastAsia"/>
                <w:color w:val="000000" w:themeColor="text1"/>
                <w14:textFill>
                  <w14:solidFill>
                    <w14:schemeClr w14:val="tx1"/>
                  </w14:solidFill>
                </w14:textFill>
              </w:rPr>
              <w:t>6.举办团学干部培训班，指导学生会召开学生代表大会。</w:t>
            </w:r>
          </w:p>
        </w:tc>
        <w:tc>
          <w:tcPr>
            <w:tcW w:w="1023" w:type="dxa"/>
            <w:tcMar>
              <w:left w:w="20" w:type="dxa"/>
              <w:right w:w="20" w:type="dxa"/>
            </w:tcMar>
            <w:vAlign w:val="center"/>
          </w:tcPr>
          <w:p w14:paraId="3ADD8501">
            <w:pPr>
              <w:spacing w:line="240" w:lineRule="atLeast"/>
              <w:rPr>
                <w:kern w:val="0"/>
              </w:rPr>
            </w:pPr>
          </w:p>
        </w:tc>
      </w:tr>
      <w:tr w14:paraId="6843D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2" w:type="dxa"/>
            <w:vMerge w:val="continue"/>
            <w:vAlign w:val="center"/>
          </w:tcPr>
          <w:p w14:paraId="6312F8EA">
            <w:pPr>
              <w:spacing w:line="240" w:lineRule="atLeast"/>
              <w:jc w:val="center"/>
              <w:rPr>
                <w:b/>
                <w:kern w:val="0"/>
              </w:rPr>
            </w:pPr>
          </w:p>
        </w:tc>
        <w:tc>
          <w:tcPr>
            <w:tcW w:w="2130" w:type="dxa"/>
            <w:tcMar>
              <w:left w:w="20" w:type="dxa"/>
              <w:right w:w="20" w:type="dxa"/>
            </w:tcMar>
            <w:vAlign w:val="center"/>
          </w:tcPr>
          <w:p w14:paraId="3D73A18B">
            <w:pPr>
              <w:spacing w:line="240" w:lineRule="atLeast"/>
              <w:jc w:val="center"/>
              <w:rPr>
                <w:rFonts w:eastAsiaTheme="minorEastAsia"/>
                <w:bCs/>
                <w:color w:val="000000" w:themeColor="text1"/>
                <w14:textFill>
                  <w14:solidFill>
                    <w14:schemeClr w14:val="tx1"/>
                  </w14:solidFill>
                </w14:textFill>
              </w:rPr>
            </w:pPr>
            <w:r>
              <w:rPr>
                <w:rFonts w:eastAsiaTheme="minorEastAsia"/>
                <w:bCs/>
                <w:color w:val="000000" w:themeColor="text1"/>
                <w14:textFill>
                  <w14:solidFill>
                    <w14:schemeClr w14:val="tx1"/>
                  </w14:solidFill>
                </w14:textFill>
              </w:rPr>
              <w:t>助推人才培养</w:t>
            </w:r>
          </w:p>
          <w:p w14:paraId="1F4443A3">
            <w:pPr>
              <w:spacing w:line="240" w:lineRule="atLeast"/>
              <w:jc w:val="center"/>
              <w:rPr>
                <w:color w:val="000000"/>
                <w:kern w:val="0"/>
              </w:rPr>
            </w:pPr>
            <w:r>
              <w:rPr>
                <w:rFonts w:eastAsiaTheme="minorEastAsia"/>
                <w:bCs/>
                <w:color w:val="000000" w:themeColor="text1"/>
                <w14:textFill>
                  <w14:solidFill>
                    <w14:schemeClr w14:val="tx1"/>
                  </w14:solidFill>
                </w14:textFill>
              </w:rPr>
              <w:t>提质增效</w:t>
            </w:r>
          </w:p>
        </w:tc>
        <w:tc>
          <w:tcPr>
            <w:tcW w:w="6093" w:type="dxa"/>
            <w:vAlign w:val="center"/>
          </w:tcPr>
          <w:p w14:paraId="06737AE0">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1.创新打造一批校园文化品牌活动，持续提升“第二课堂”活力；</w:t>
            </w:r>
          </w:p>
          <w:p w14:paraId="65E319C7">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2.围绕“课程建设年”，提升“第二课堂”课程质量和数量，推进“第二课堂”金课建设；</w:t>
            </w:r>
          </w:p>
          <w:p w14:paraId="5297E8A2">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3.开展“第二课堂”预警工作；</w:t>
            </w:r>
          </w:p>
          <w:p w14:paraId="4CD03C1F">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 xml:space="preserve">4.推进学生社团规范化管理、精品化建设和高质量发展； </w:t>
            </w:r>
          </w:p>
          <w:p w14:paraId="7380C9AC">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5.实施大学生就业引航计划、大学生实习扬帆计划；</w:t>
            </w:r>
          </w:p>
          <w:p w14:paraId="3A19E5ED">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6.加强青年思想动态研判分析，推动问题解决落实；</w:t>
            </w:r>
          </w:p>
          <w:p w14:paraId="6D7BFD71">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7.抓好学生慈善教育，开展好“慈善一日捐”活动；</w:t>
            </w:r>
          </w:p>
          <w:p w14:paraId="11775972">
            <w:pPr>
              <w:spacing w:line="340" w:lineRule="exact"/>
              <w:jc w:val="left"/>
              <w:rPr>
                <w:color w:val="000000"/>
                <w:kern w:val="0"/>
                <w:sz w:val="21"/>
                <w:szCs w:val="21"/>
              </w:rPr>
            </w:pPr>
            <w:r>
              <w:rPr>
                <w:rFonts w:eastAsiaTheme="minorEastAsia"/>
                <w:color w:val="000000" w:themeColor="text1"/>
                <w14:textFill>
                  <w14:solidFill>
                    <w14:schemeClr w14:val="tx1"/>
                  </w14:solidFill>
                </w14:textFill>
              </w:rPr>
              <w:t>8.指导学生会务实开展“我为同学做实事”服务项目。</w:t>
            </w:r>
          </w:p>
        </w:tc>
        <w:tc>
          <w:tcPr>
            <w:tcW w:w="1023" w:type="dxa"/>
            <w:tcMar>
              <w:left w:w="20" w:type="dxa"/>
              <w:right w:w="20" w:type="dxa"/>
            </w:tcMar>
            <w:vAlign w:val="center"/>
          </w:tcPr>
          <w:p w14:paraId="177C9638">
            <w:pPr>
              <w:spacing w:line="240" w:lineRule="atLeast"/>
              <w:rPr>
                <w:kern w:val="0"/>
              </w:rPr>
            </w:pPr>
          </w:p>
        </w:tc>
      </w:tr>
      <w:tr w14:paraId="2484CB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1222" w:type="dxa"/>
            <w:vMerge w:val="continue"/>
            <w:vAlign w:val="center"/>
          </w:tcPr>
          <w:p w14:paraId="3515B2DA">
            <w:pPr>
              <w:spacing w:line="240" w:lineRule="atLeast"/>
              <w:jc w:val="center"/>
              <w:rPr>
                <w:b/>
                <w:kern w:val="0"/>
              </w:rPr>
            </w:pPr>
          </w:p>
        </w:tc>
        <w:tc>
          <w:tcPr>
            <w:tcW w:w="2130" w:type="dxa"/>
            <w:tcMar>
              <w:left w:w="20" w:type="dxa"/>
              <w:right w:w="20" w:type="dxa"/>
            </w:tcMar>
            <w:vAlign w:val="center"/>
          </w:tcPr>
          <w:p w14:paraId="510834CE">
            <w:pPr>
              <w:spacing w:line="240" w:lineRule="atLeast"/>
              <w:jc w:val="center"/>
              <w:rPr>
                <w:rFonts w:eastAsiaTheme="minorEastAsia"/>
                <w:bCs/>
                <w:color w:val="000000" w:themeColor="text1"/>
                <w14:textFill>
                  <w14:solidFill>
                    <w14:schemeClr w14:val="tx1"/>
                  </w14:solidFill>
                </w14:textFill>
              </w:rPr>
            </w:pPr>
            <w:r>
              <w:rPr>
                <w:rFonts w:eastAsiaTheme="minorEastAsia"/>
                <w:bCs/>
                <w:color w:val="000000" w:themeColor="text1"/>
                <w14:textFill>
                  <w14:solidFill>
                    <w14:schemeClr w14:val="tx1"/>
                  </w14:solidFill>
                </w14:textFill>
              </w:rPr>
              <w:t>助力打造特色</w:t>
            </w:r>
          </w:p>
          <w:p w14:paraId="006A58BD">
            <w:pPr>
              <w:spacing w:line="240" w:lineRule="atLeast"/>
              <w:jc w:val="center"/>
              <w:rPr>
                <w:color w:val="000000"/>
                <w:kern w:val="0"/>
              </w:rPr>
            </w:pPr>
            <w:r>
              <w:rPr>
                <w:rFonts w:eastAsiaTheme="minorEastAsia"/>
                <w:bCs/>
                <w:color w:val="000000" w:themeColor="text1"/>
                <w14:textFill>
                  <w14:solidFill>
                    <w14:schemeClr w14:val="tx1"/>
                  </w14:solidFill>
                </w14:textFill>
              </w:rPr>
              <w:t>校园文化</w:t>
            </w:r>
          </w:p>
        </w:tc>
        <w:tc>
          <w:tcPr>
            <w:tcW w:w="6093" w:type="dxa"/>
            <w:vAlign w:val="center"/>
          </w:tcPr>
          <w:p w14:paraId="2A2AF003">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1.组织学生积极参加高雅艺术进校园、美育讲堂、迎新文艺汇演等活动；</w:t>
            </w:r>
          </w:p>
          <w:p w14:paraId="576EE04A">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2.积极参与第八届江苏省大学生艺术展演作品培育工作；</w:t>
            </w:r>
          </w:p>
          <w:p w14:paraId="3F897B22">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3.承办</w:t>
            </w:r>
            <w:r>
              <w:rPr>
                <w:rFonts w:hint="eastAsia" w:eastAsiaTheme="minorEastAsia"/>
                <w:color w:val="000000" w:themeColor="text1"/>
                <w:lang w:eastAsia="zh-CN"/>
                <w14:textFill>
                  <w14:solidFill>
                    <w14:schemeClr w14:val="tx1"/>
                  </w14:solidFill>
                </w14:textFill>
              </w:rPr>
              <w:t>2026</w:t>
            </w:r>
            <w:r>
              <w:rPr>
                <w:rFonts w:eastAsiaTheme="minorEastAsia"/>
                <w:color w:val="000000" w:themeColor="text1"/>
                <w14:textFill>
                  <w14:solidFill>
                    <w14:schemeClr w14:val="tx1"/>
                  </w14:solidFill>
                </w14:textFill>
              </w:rPr>
              <w:t>年大学生文化艺术节；</w:t>
            </w:r>
          </w:p>
          <w:p w14:paraId="4BD843C9">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4.组织学生积极参加校园读书节、体育健身节、学术科技节、大学生网络文化节等主题系列活动；</w:t>
            </w:r>
          </w:p>
          <w:p w14:paraId="3CBA25EB">
            <w:pPr>
              <w:spacing w:line="340" w:lineRule="exact"/>
              <w:jc w:val="left"/>
              <w:rPr>
                <w:color w:val="000000"/>
                <w:kern w:val="0"/>
                <w:sz w:val="21"/>
                <w:szCs w:val="21"/>
              </w:rPr>
            </w:pPr>
            <w:r>
              <w:rPr>
                <w:rFonts w:eastAsiaTheme="minorEastAsia"/>
                <w:color w:val="000000" w:themeColor="text1"/>
                <w14:textFill>
                  <w14:solidFill>
                    <w14:schemeClr w14:val="tx1"/>
                  </w14:solidFill>
                </w14:textFill>
              </w:rPr>
              <w:t>5.组织开展生命健康教育、网络文明教育等活动。</w:t>
            </w:r>
          </w:p>
        </w:tc>
        <w:tc>
          <w:tcPr>
            <w:tcW w:w="1023" w:type="dxa"/>
            <w:tcMar>
              <w:left w:w="20" w:type="dxa"/>
              <w:right w:w="20" w:type="dxa"/>
            </w:tcMar>
            <w:vAlign w:val="center"/>
          </w:tcPr>
          <w:p w14:paraId="024ABA51">
            <w:pPr>
              <w:spacing w:line="240" w:lineRule="atLeast"/>
              <w:rPr>
                <w:kern w:val="0"/>
              </w:rPr>
            </w:pPr>
          </w:p>
        </w:tc>
      </w:tr>
      <w:tr w14:paraId="5D4DC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222" w:type="dxa"/>
            <w:vMerge w:val="continue"/>
            <w:vAlign w:val="center"/>
          </w:tcPr>
          <w:p w14:paraId="41189ACF">
            <w:pPr>
              <w:spacing w:line="240" w:lineRule="atLeast"/>
              <w:jc w:val="center"/>
              <w:rPr>
                <w:b/>
                <w:kern w:val="0"/>
              </w:rPr>
            </w:pPr>
          </w:p>
        </w:tc>
        <w:tc>
          <w:tcPr>
            <w:tcW w:w="2130" w:type="dxa"/>
            <w:tcMar>
              <w:left w:w="20" w:type="dxa"/>
              <w:right w:w="20" w:type="dxa"/>
            </w:tcMar>
            <w:vAlign w:val="center"/>
          </w:tcPr>
          <w:p w14:paraId="0A488827">
            <w:pPr>
              <w:spacing w:line="240" w:lineRule="atLeast"/>
              <w:jc w:val="center"/>
              <w:rPr>
                <w:rFonts w:eastAsiaTheme="minorEastAsia"/>
                <w:bCs/>
                <w:color w:val="000000" w:themeColor="text1"/>
                <w14:textFill>
                  <w14:solidFill>
                    <w14:schemeClr w14:val="tx1"/>
                  </w14:solidFill>
                </w14:textFill>
              </w:rPr>
            </w:pPr>
            <w:r>
              <w:rPr>
                <w:rFonts w:eastAsiaTheme="minorEastAsia"/>
                <w:bCs/>
                <w:color w:val="000000" w:themeColor="text1"/>
                <w14:textFill>
                  <w14:solidFill>
                    <w14:schemeClr w14:val="tx1"/>
                  </w14:solidFill>
                </w14:textFill>
              </w:rPr>
              <w:t>完善实践育人体系</w:t>
            </w:r>
          </w:p>
        </w:tc>
        <w:tc>
          <w:tcPr>
            <w:tcW w:w="6093" w:type="dxa"/>
            <w:vAlign w:val="center"/>
          </w:tcPr>
          <w:p w14:paraId="0DAA41D1">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1.推动校地共建，拓展优质的“大思政课”实践基地；</w:t>
            </w:r>
          </w:p>
          <w:p w14:paraId="69539D3B">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2.加强社会实践宣传动员、立项报备、培训辅导、考核评价等工作，提升实践教育的规范化、专业化、信息化水平；</w:t>
            </w:r>
          </w:p>
          <w:p w14:paraId="1BE7DC86">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3.围绕红色薪火赓续、青年科创领航等主题，设计开展社会实践活动，打造实践育人品牌项目；</w:t>
            </w:r>
          </w:p>
          <w:p w14:paraId="32976F41">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4.深入推进“万生进千企、百家进校园”行动；</w:t>
            </w:r>
          </w:p>
          <w:p w14:paraId="0EA8888A">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 xml:space="preserve">5.组织开展“三下乡”“返家乡”社会实践活动； </w:t>
            </w:r>
          </w:p>
          <w:p w14:paraId="50908326">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6.推进“一院一社区”青春行动，组织动员</w:t>
            </w:r>
            <w:r>
              <w:rPr>
                <w:rFonts w:hint="eastAsia"/>
                <w:color w:val="FF0000"/>
                <w:sz w:val="21"/>
                <w:szCs w:val="21"/>
                <w:lang w:val="en-US" w:eastAsia="zh-CN"/>
              </w:rPr>
              <w:t>X</w:t>
            </w:r>
            <w:r>
              <w:rPr>
                <w:rFonts w:eastAsiaTheme="minorEastAsia"/>
                <w:color w:val="000000" w:themeColor="text1"/>
                <w14:textFill>
                  <w14:solidFill>
                    <w14:schemeClr w14:val="tx1"/>
                  </w14:solidFill>
                </w14:textFill>
              </w:rPr>
              <w:t>%的团支部就近就便开展社区实践；</w:t>
            </w:r>
          </w:p>
          <w:p w14:paraId="79A8A43D">
            <w:pPr>
              <w:spacing w:line="340" w:lineRule="exact"/>
              <w:jc w:val="lef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7．组织学生积极参加“校园美化”等各类志愿服务，按照“一院一品”要求打造具有学院特色的精品志愿服务项目。</w:t>
            </w:r>
          </w:p>
        </w:tc>
        <w:tc>
          <w:tcPr>
            <w:tcW w:w="1023" w:type="dxa"/>
            <w:tcMar>
              <w:left w:w="20" w:type="dxa"/>
              <w:right w:w="20" w:type="dxa"/>
            </w:tcMar>
            <w:vAlign w:val="center"/>
          </w:tcPr>
          <w:p w14:paraId="6EB8BA44">
            <w:pPr>
              <w:spacing w:line="240" w:lineRule="atLeast"/>
              <w:rPr>
                <w:kern w:val="0"/>
              </w:rPr>
            </w:pPr>
          </w:p>
        </w:tc>
      </w:tr>
      <w:tr w14:paraId="580C9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1222" w:type="dxa"/>
            <w:vMerge w:val="restart"/>
            <w:vAlign w:val="center"/>
          </w:tcPr>
          <w:p w14:paraId="6A8C69E8">
            <w:pPr>
              <w:spacing w:line="240" w:lineRule="atLeast"/>
              <w:jc w:val="center"/>
              <w:rPr>
                <w:rFonts w:hint="eastAsia"/>
                <w:b/>
              </w:rPr>
            </w:pPr>
            <w:r>
              <w:rPr>
                <w:rFonts w:hint="eastAsia"/>
                <w:b/>
              </w:rPr>
              <w:t>八、安全</w:t>
            </w:r>
          </w:p>
          <w:p w14:paraId="002EE03E">
            <w:pPr>
              <w:spacing w:line="240" w:lineRule="atLeast"/>
              <w:jc w:val="center"/>
              <w:rPr>
                <w:rFonts w:hint="eastAsia"/>
                <w:b/>
              </w:rPr>
            </w:pPr>
            <w:r>
              <w:rPr>
                <w:rFonts w:hint="eastAsia"/>
                <w:b/>
              </w:rPr>
              <w:t>稳定</w:t>
            </w:r>
          </w:p>
          <w:p w14:paraId="2F653A27">
            <w:pPr>
              <w:spacing w:line="240" w:lineRule="atLeast"/>
              <w:jc w:val="center"/>
              <w:rPr>
                <w:b/>
              </w:rPr>
            </w:pPr>
            <w:r>
              <w:rPr>
                <w:rFonts w:hint="eastAsia"/>
                <w:b/>
                <w:color w:val="FF0000"/>
              </w:rPr>
              <w:t>（保卫处）</w:t>
            </w:r>
          </w:p>
        </w:tc>
        <w:tc>
          <w:tcPr>
            <w:tcW w:w="2130" w:type="dxa"/>
            <w:vMerge w:val="restart"/>
            <w:tcMar>
              <w:left w:w="20" w:type="dxa"/>
              <w:right w:w="20" w:type="dxa"/>
            </w:tcMar>
            <w:vAlign w:val="center"/>
          </w:tcPr>
          <w:p w14:paraId="227EFAEF">
            <w:pPr>
              <w:spacing w:line="300" w:lineRule="exact"/>
              <w:jc w:val="center"/>
            </w:pPr>
            <w:r>
              <w:t>维护</w:t>
            </w:r>
            <w:r>
              <w:rPr>
                <w:rFonts w:hint="eastAsia"/>
              </w:rPr>
              <w:t>安全</w:t>
            </w:r>
            <w:r>
              <w:t>稳定工作</w:t>
            </w:r>
          </w:p>
          <w:p w14:paraId="727BEBF6">
            <w:pPr>
              <w:spacing w:line="300" w:lineRule="exact"/>
              <w:jc w:val="center"/>
            </w:pPr>
          </w:p>
        </w:tc>
        <w:tc>
          <w:tcPr>
            <w:tcW w:w="6093" w:type="dxa"/>
            <w:vAlign w:val="center"/>
          </w:tcPr>
          <w:p w14:paraId="61CDD8E6">
            <w:pPr>
              <w:keepNext w:val="0"/>
              <w:keepLines w:val="0"/>
              <w:pageBreakBefore w:val="0"/>
              <w:kinsoku/>
              <w:wordWrap/>
              <w:overflowPunct/>
              <w:topLinePunct w:val="0"/>
              <w:autoSpaceDE/>
              <w:autoSpaceDN/>
              <w:bidi w:val="0"/>
              <w:adjustRightInd/>
              <w:snapToGrid/>
              <w:spacing w:line="240" w:lineRule="atLeast"/>
              <w:ind w:left="0" w:leftChars="0"/>
              <w:textAlignment w:val="auto"/>
              <w:rPr>
                <w:sz w:val="21"/>
                <w:szCs w:val="21"/>
              </w:rPr>
            </w:pPr>
            <w:r>
              <w:rPr>
                <w:rFonts w:hint="eastAsia"/>
                <w:kern w:val="0"/>
                <w:sz w:val="21"/>
                <w:szCs w:val="21"/>
              </w:rPr>
              <w:t>持续推进全省教育系统安全生产治本攻坚三年行动（2024—2026年）的工作要求，做好校园安全与安全生产治本攻坚工作；进一步落实、完善本单位安全稳定工作责任体系</w:t>
            </w:r>
            <w:r>
              <w:rPr>
                <w:rFonts w:hint="eastAsia"/>
                <w:sz w:val="21"/>
                <w:szCs w:val="21"/>
              </w:rPr>
              <w:t>和网格化安全管理体系</w:t>
            </w:r>
            <w:r>
              <w:rPr>
                <w:rFonts w:hint="eastAsia"/>
                <w:kern w:val="0"/>
                <w:sz w:val="21"/>
                <w:szCs w:val="21"/>
              </w:rPr>
              <w:t>；常态化开展职责范围内的安全隐患排查整治工作；组织好学校要求的各类安全检查，及时整改安全隐患；有效防范化解重大安全风险，守住安全底线。</w:t>
            </w:r>
          </w:p>
        </w:tc>
        <w:tc>
          <w:tcPr>
            <w:tcW w:w="1023" w:type="dxa"/>
            <w:tcMar>
              <w:left w:w="20" w:type="dxa"/>
              <w:right w:w="20" w:type="dxa"/>
            </w:tcMar>
            <w:vAlign w:val="center"/>
          </w:tcPr>
          <w:p w14:paraId="34DB551D">
            <w:pPr>
              <w:spacing w:line="300" w:lineRule="exact"/>
              <w:jc w:val="center"/>
            </w:pPr>
          </w:p>
        </w:tc>
      </w:tr>
      <w:tr w14:paraId="4D0E43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22" w:type="dxa"/>
            <w:vMerge w:val="continue"/>
            <w:vAlign w:val="center"/>
          </w:tcPr>
          <w:p w14:paraId="2ADA6AA8">
            <w:pPr>
              <w:spacing w:line="240" w:lineRule="atLeast"/>
              <w:jc w:val="center"/>
              <w:rPr>
                <w:b/>
              </w:rPr>
            </w:pPr>
          </w:p>
        </w:tc>
        <w:tc>
          <w:tcPr>
            <w:tcW w:w="2130" w:type="dxa"/>
            <w:vMerge w:val="continue"/>
            <w:tcMar>
              <w:left w:w="20" w:type="dxa"/>
              <w:right w:w="20" w:type="dxa"/>
            </w:tcMar>
            <w:vAlign w:val="center"/>
          </w:tcPr>
          <w:p w14:paraId="356DB309">
            <w:pPr>
              <w:spacing w:line="300" w:lineRule="exact"/>
              <w:jc w:val="center"/>
            </w:pPr>
          </w:p>
        </w:tc>
        <w:tc>
          <w:tcPr>
            <w:tcW w:w="6093" w:type="dxa"/>
            <w:vAlign w:val="center"/>
          </w:tcPr>
          <w:p w14:paraId="6F51B0CE">
            <w:pPr>
              <w:keepNext w:val="0"/>
              <w:keepLines w:val="0"/>
              <w:pageBreakBefore w:val="0"/>
              <w:kinsoku/>
              <w:wordWrap/>
              <w:overflowPunct/>
              <w:topLinePunct w:val="0"/>
              <w:autoSpaceDE/>
              <w:autoSpaceDN/>
              <w:bidi w:val="0"/>
              <w:adjustRightInd/>
              <w:snapToGrid/>
              <w:spacing w:line="240" w:lineRule="atLeast"/>
              <w:ind w:left="0" w:leftChars="0"/>
              <w:textAlignment w:val="auto"/>
              <w:rPr>
                <w:sz w:val="21"/>
                <w:szCs w:val="21"/>
              </w:rPr>
            </w:pPr>
            <w:r>
              <w:rPr>
                <w:rFonts w:hint="eastAsia"/>
                <w:sz w:val="21"/>
                <w:szCs w:val="21"/>
              </w:rPr>
              <w:t>完善情报信息网络，及时报送相关信息，定期开展排查、化解影响本单位稳定的矛盾纠纷、安全隐患、不稳定因素，维护校园稳定，</w:t>
            </w:r>
            <w:r>
              <w:rPr>
                <w:sz w:val="21"/>
                <w:szCs w:val="21"/>
              </w:rPr>
              <w:t>全年无重大政治、刑事案件</w:t>
            </w:r>
            <w:r>
              <w:rPr>
                <w:rFonts w:hint="eastAsia"/>
                <w:sz w:val="21"/>
                <w:szCs w:val="21"/>
              </w:rPr>
              <w:t>。关注师生思想动态，及时妥善处置各类不当言论和过激言论，不发生伤害责任事故，确保师生生命健康安全。</w:t>
            </w:r>
          </w:p>
        </w:tc>
        <w:tc>
          <w:tcPr>
            <w:tcW w:w="1023" w:type="dxa"/>
            <w:tcMar>
              <w:left w:w="20" w:type="dxa"/>
              <w:right w:w="20" w:type="dxa"/>
            </w:tcMar>
            <w:vAlign w:val="center"/>
          </w:tcPr>
          <w:p w14:paraId="18DC4739">
            <w:pPr>
              <w:spacing w:line="300" w:lineRule="exact"/>
              <w:jc w:val="center"/>
            </w:pPr>
          </w:p>
        </w:tc>
      </w:tr>
      <w:tr w14:paraId="45E19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222" w:type="dxa"/>
            <w:vMerge w:val="continue"/>
            <w:vAlign w:val="center"/>
          </w:tcPr>
          <w:p w14:paraId="05D13561">
            <w:pPr>
              <w:spacing w:line="240" w:lineRule="atLeast"/>
              <w:jc w:val="center"/>
              <w:rPr>
                <w:b/>
                <w:bCs/>
              </w:rPr>
            </w:pPr>
          </w:p>
        </w:tc>
        <w:tc>
          <w:tcPr>
            <w:tcW w:w="2130" w:type="dxa"/>
            <w:vMerge w:val="restart"/>
            <w:tcMar>
              <w:left w:w="20" w:type="dxa"/>
              <w:right w:w="20" w:type="dxa"/>
            </w:tcMar>
            <w:vAlign w:val="center"/>
          </w:tcPr>
          <w:p w14:paraId="38F3AF8E">
            <w:pPr>
              <w:tabs>
                <w:tab w:val="left" w:pos="382"/>
              </w:tabs>
              <w:spacing w:line="300" w:lineRule="exact"/>
              <w:jc w:val="center"/>
              <w:rPr>
                <w:rFonts w:hint="eastAsia"/>
              </w:rPr>
            </w:pPr>
            <w:r>
              <w:t>消防安全</w:t>
            </w:r>
            <w:r>
              <w:rPr>
                <w:rFonts w:hint="eastAsia"/>
              </w:rPr>
              <w:t>和实验室</w:t>
            </w:r>
          </w:p>
          <w:p w14:paraId="6629168B">
            <w:pPr>
              <w:tabs>
                <w:tab w:val="left" w:pos="382"/>
              </w:tabs>
              <w:spacing w:line="300" w:lineRule="exact"/>
              <w:jc w:val="center"/>
            </w:pPr>
            <w:r>
              <w:rPr>
                <w:rFonts w:hint="eastAsia"/>
              </w:rPr>
              <w:t>安全</w:t>
            </w:r>
            <w:r>
              <w:t>工作</w:t>
            </w:r>
          </w:p>
          <w:p w14:paraId="357A2EE6">
            <w:pPr>
              <w:spacing w:line="300" w:lineRule="exact"/>
              <w:jc w:val="center"/>
              <w:rPr>
                <w:rFonts w:cs="宋体"/>
              </w:rPr>
            </w:pPr>
          </w:p>
        </w:tc>
        <w:tc>
          <w:tcPr>
            <w:tcW w:w="6093" w:type="dxa"/>
            <w:vAlign w:val="center"/>
          </w:tcPr>
          <w:p w14:paraId="48FEB2B4">
            <w:pPr>
              <w:keepNext w:val="0"/>
              <w:keepLines w:val="0"/>
              <w:pageBreakBefore w:val="0"/>
              <w:widowControl/>
              <w:kinsoku/>
              <w:wordWrap/>
              <w:overflowPunct/>
              <w:topLinePunct w:val="0"/>
              <w:autoSpaceDE/>
              <w:autoSpaceDN/>
              <w:bidi w:val="0"/>
              <w:adjustRightInd/>
              <w:snapToGrid/>
              <w:spacing w:line="240" w:lineRule="atLeast"/>
              <w:ind w:left="0" w:leftChars="0"/>
              <w:textAlignment w:val="auto"/>
              <w:rPr>
                <w:sz w:val="21"/>
                <w:szCs w:val="21"/>
              </w:rPr>
            </w:pPr>
            <w:r>
              <w:rPr>
                <w:rFonts w:hint="eastAsia"/>
                <w:sz w:val="21"/>
                <w:szCs w:val="21"/>
              </w:rPr>
              <w:t>强化消防安全。</w:t>
            </w:r>
            <w:r>
              <w:rPr>
                <w:sz w:val="21"/>
                <w:szCs w:val="21"/>
              </w:rPr>
              <w:t>强化消防安全责任意识，扎实做好消防安全工作</w:t>
            </w:r>
            <w:r>
              <w:rPr>
                <w:rFonts w:hint="eastAsia"/>
                <w:sz w:val="21"/>
                <w:szCs w:val="21"/>
              </w:rPr>
              <w:t>；</w:t>
            </w:r>
            <w:r>
              <w:rPr>
                <w:sz w:val="21"/>
                <w:szCs w:val="21"/>
              </w:rPr>
              <w:t>定期开展防火安全检查，认真整改消防安全隐患，杜绝火灾责任事故发生；常态化开展消防安全教育，普及防火知识，开展应急演练，提升师生消防安全意识和能力</w:t>
            </w:r>
            <w:r>
              <w:rPr>
                <w:rFonts w:hint="eastAsia"/>
                <w:sz w:val="21"/>
                <w:szCs w:val="21"/>
              </w:rPr>
              <w:t>。</w:t>
            </w:r>
          </w:p>
        </w:tc>
        <w:tc>
          <w:tcPr>
            <w:tcW w:w="1023" w:type="dxa"/>
            <w:tcMar>
              <w:left w:w="20" w:type="dxa"/>
              <w:right w:w="20" w:type="dxa"/>
            </w:tcMar>
            <w:vAlign w:val="center"/>
          </w:tcPr>
          <w:p w14:paraId="149D8458">
            <w:pPr>
              <w:spacing w:line="320" w:lineRule="exact"/>
            </w:pPr>
          </w:p>
        </w:tc>
      </w:tr>
      <w:tr w14:paraId="5AD6D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22" w:type="dxa"/>
            <w:vMerge w:val="continue"/>
            <w:vAlign w:val="center"/>
          </w:tcPr>
          <w:p w14:paraId="7EA68B34">
            <w:pPr>
              <w:spacing w:line="240" w:lineRule="atLeast"/>
              <w:jc w:val="center"/>
              <w:rPr>
                <w:b/>
                <w:bCs/>
              </w:rPr>
            </w:pPr>
          </w:p>
        </w:tc>
        <w:tc>
          <w:tcPr>
            <w:tcW w:w="2130" w:type="dxa"/>
            <w:vMerge w:val="continue"/>
            <w:tcMar>
              <w:left w:w="20" w:type="dxa"/>
              <w:right w:w="20" w:type="dxa"/>
            </w:tcMar>
            <w:vAlign w:val="center"/>
          </w:tcPr>
          <w:p w14:paraId="374A9EAB">
            <w:pPr>
              <w:spacing w:line="300" w:lineRule="exact"/>
              <w:jc w:val="center"/>
            </w:pPr>
          </w:p>
        </w:tc>
        <w:tc>
          <w:tcPr>
            <w:tcW w:w="6093" w:type="dxa"/>
            <w:vAlign w:val="center"/>
          </w:tcPr>
          <w:p w14:paraId="43C10142">
            <w:pPr>
              <w:keepNext w:val="0"/>
              <w:keepLines w:val="0"/>
              <w:pageBreakBefore w:val="0"/>
              <w:widowControl/>
              <w:kinsoku/>
              <w:wordWrap/>
              <w:overflowPunct/>
              <w:topLinePunct w:val="0"/>
              <w:autoSpaceDE/>
              <w:autoSpaceDN/>
              <w:bidi w:val="0"/>
              <w:adjustRightInd/>
              <w:snapToGrid/>
              <w:spacing w:line="240" w:lineRule="atLeast"/>
              <w:ind w:left="0" w:leftChars="0"/>
              <w:textAlignment w:val="auto"/>
              <w:rPr>
                <w:sz w:val="21"/>
                <w:szCs w:val="21"/>
              </w:rPr>
            </w:pPr>
            <w:r>
              <w:rPr>
                <w:rFonts w:hint="eastAsia"/>
                <w:sz w:val="21"/>
                <w:szCs w:val="21"/>
              </w:rPr>
              <w:t>强化实验实习实训安全。</w:t>
            </w:r>
            <w:r>
              <w:rPr>
                <w:rFonts w:cs="宋体"/>
                <w:spacing w:val="-2"/>
                <w:sz w:val="21"/>
                <w:szCs w:val="21"/>
              </w:rPr>
              <w:t>制订、完善</w:t>
            </w:r>
            <w:r>
              <w:rPr>
                <w:rFonts w:hint="eastAsia" w:cs="宋体"/>
                <w:spacing w:val="-2"/>
                <w:sz w:val="21"/>
                <w:szCs w:val="21"/>
              </w:rPr>
              <w:t>本单位</w:t>
            </w:r>
            <w:r>
              <w:rPr>
                <w:rFonts w:cs="宋体"/>
                <w:spacing w:val="-2"/>
                <w:sz w:val="21"/>
                <w:szCs w:val="21"/>
              </w:rPr>
              <w:t>实验室安全工作规划和管理规章制度；组织开展实验室安全知识宣传、安全教育考试及业务培训；</w:t>
            </w:r>
            <w:r>
              <w:rPr>
                <w:rFonts w:hint="eastAsia" w:cs="宋体"/>
                <w:spacing w:val="-2"/>
                <w:sz w:val="21"/>
                <w:szCs w:val="21"/>
              </w:rPr>
              <w:t>做好</w:t>
            </w:r>
            <w:r>
              <w:rPr>
                <w:rFonts w:cs="宋体"/>
                <w:spacing w:val="-2"/>
                <w:sz w:val="21"/>
                <w:szCs w:val="21"/>
              </w:rPr>
              <w:t>指导、督查、协调实验室安全管理工作；组织实验室安全检查，督促实验室安全隐患整改等</w:t>
            </w:r>
            <w:r>
              <w:rPr>
                <w:rFonts w:hint="eastAsia" w:cs="宋体"/>
                <w:spacing w:val="-2"/>
                <w:sz w:val="21"/>
                <w:szCs w:val="21"/>
              </w:rPr>
              <w:t>工作</w:t>
            </w:r>
            <w:r>
              <w:rPr>
                <w:rFonts w:cs="宋体"/>
                <w:spacing w:val="-2"/>
                <w:sz w:val="21"/>
                <w:szCs w:val="21"/>
              </w:rPr>
              <w:t>。承担《常州工学院实验室安全管理办法（试行）》（常工政</w:t>
            </w:r>
            <w:r>
              <w:rPr>
                <w:spacing w:val="-2"/>
                <w:sz w:val="21"/>
                <w:szCs w:val="21"/>
              </w:rPr>
              <w:t>〔2022〕54</w:t>
            </w:r>
            <w:r>
              <w:rPr>
                <w:rFonts w:cs="宋体"/>
                <w:spacing w:val="-2"/>
                <w:sz w:val="21"/>
                <w:szCs w:val="21"/>
              </w:rPr>
              <w:t>号）中规定的所在部门安全管理职责。做好危化品管理和特种设备管理。做好实习实训安全管理工作。</w:t>
            </w:r>
          </w:p>
        </w:tc>
        <w:tc>
          <w:tcPr>
            <w:tcW w:w="1023" w:type="dxa"/>
            <w:tcMar>
              <w:left w:w="20" w:type="dxa"/>
              <w:right w:w="20" w:type="dxa"/>
            </w:tcMar>
            <w:vAlign w:val="center"/>
          </w:tcPr>
          <w:p w14:paraId="18F06CBB">
            <w:pPr>
              <w:spacing w:line="240" w:lineRule="atLeast"/>
            </w:pPr>
          </w:p>
        </w:tc>
      </w:tr>
      <w:tr w14:paraId="22D1E4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222" w:type="dxa"/>
            <w:vMerge w:val="continue"/>
            <w:vAlign w:val="center"/>
          </w:tcPr>
          <w:p w14:paraId="207AE799">
            <w:pPr>
              <w:spacing w:line="240" w:lineRule="atLeast"/>
              <w:jc w:val="center"/>
              <w:rPr>
                <w:b/>
                <w:bCs/>
              </w:rPr>
            </w:pPr>
          </w:p>
        </w:tc>
        <w:tc>
          <w:tcPr>
            <w:tcW w:w="2130" w:type="dxa"/>
            <w:vMerge w:val="restart"/>
            <w:tcMar>
              <w:left w:w="20" w:type="dxa"/>
              <w:right w:w="20" w:type="dxa"/>
            </w:tcMar>
            <w:vAlign w:val="center"/>
          </w:tcPr>
          <w:p w14:paraId="0E411BB6">
            <w:pPr>
              <w:spacing w:line="300" w:lineRule="exact"/>
              <w:jc w:val="center"/>
            </w:pPr>
            <w:r>
              <w:rPr>
                <w:rFonts w:hint="eastAsia"/>
              </w:rPr>
              <w:t>治安防范和交通安全工作</w:t>
            </w:r>
          </w:p>
        </w:tc>
        <w:tc>
          <w:tcPr>
            <w:tcW w:w="6093" w:type="dxa"/>
            <w:vAlign w:val="center"/>
          </w:tcPr>
          <w:p w14:paraId="60847A1E">
            <w:pPr>
              <w:keepNext w:val="0"/>
              <w:keepLines w:val="0"/>
              <w:pageBreakBefore w:val="0"/>
              <w:kinsoku/>
              <w:wordWrap/>
              <w:overflowPunct/>
              <w:topLinePunct w:val="0"/>
              <w:autoSpaceDE/>
              <w:autoSpaceDN/>
              <w:bidi w:val="0"/>
              <w:adjustRightInd/>
              <w:snapToGrid/>
              <w:spacing w:line="240" w:lineRule="atLeast"/>
              <w:ind w:left="0" w:leftChars="0"/>
              <w:textAlignment w:val="auto"/>
              <w:rPr>
                <w:sz w:val="21"/>
                <w:szCs w:val="21"/>
              </w:rPr>
            </w:pPr>
            <w:r>
              <w:rPr>
                <w:rFonts w:hint="eastAsia"/>
                <w:sz w:val="21"/>
                <w:szCs w:val="21"/>
              </w:rPr>
              <w:t>做好治安防范。</w:t>
            </w:r>
            <w:r>
              <w:rPr>
                <w:sz w:val="21"/>
                <w:szCs w:val="21"/>
              </w:rPr>
              <w:t>抓好安全宣传教育</w:t>
            </w:r>
            <w:r>
              <w:rPr>
                <w:rFonts w:hint="eastAsia"/>
                <w:sz w:val="21"/>
                <w:szCs w:val="21"/>
              </w:rPr>
              <w:t>，压紧压实辅导员工作职责，</w:t>
            </w:r>
            <w:r>
              <w:rPr>
                <w:sz w:val="21"/>
                <w:szCs w:val="21"/>
              </w:rPr>
              <w:t>本</w:t>
            </w:r>
            <w:r>
              <w:rPr>
                <w:kern w:val="0"/>
                <w:sz w:val="21"/>
                <w:szCs w:val="21"/>
              </w:rPr>
              <w:t>单位</w:t>
            </w:r>
            <w:r>
              <w:rPr>
                <w:rFonts w:hint="eastAsia"/>
                <w:kern w:val="0"/>
                <w:sz w:val="21"/>
                <w:szCs w:val="21"/>
              </w:rPr>
              <w:t>的电信网络诈骗案件发案率</w:t>
            </w:r>
            <w:r>
              <w:rPr>
                <w:kern w:val="0"/>
                <w:sz w:val="21"/>
                <w:szCs w:val="21"/>
              </w:rPr>
              <w:t>控制在</w:t>
            </w:r>
            <w:r>
              <w:rPr>
                <w:rFonts w:hint="eastAsia"/>
                <w:kern w:val="0"/>
                <w:sz w:val="21"/>
                <w:szCs w:val="21"/>
              </w:rPr>
              <w:t>2.0</w:t>
            </w:r>
            <w:r>
              <w:rPr>
                <w:kern w:val="0"/>
                <w:sz w:val="21"/>
                <w:szCs w:val="21"/>
              </w:rPr>
              <w:t>‰以内，</w:t>
            </w:r>
            <w:r>
              <w:rPr>
                <w:rFonts w:hint="eastAsia" w:cs="宋体"/>
                <w:color w:val="000000"/>
                <w:kern w:val="0"/>
                <w:sz w:val="21"/>
                <w:szCs w:val="21"/>
              </w:rPr>
              <w:t>力争不发生可防性案件</w:t>
            </w:r>
            <w:r>
              <w:rPr>
                <w:rFonts w:hint="eastAsia"/>
                <w:spacing w:val="-2"/>
                <w:kern w:val="0"/>
                <w:sz w:val="21"/>
                <w:szCs w:val="21"/>
              </w:rPr>
              <w:t>，</w:t>
            </w:r>
            <w:r>
              <w:rPr>
                <w:rFonts w:hint="eastAsia" w:cs="宋体"/>
                <w:color w:val="000000"/>
                <w:kern w:val="0"/>
                <w:sz w:val="21"/>
                <w:szCs w:val="21"/>
              </w:rPr>
              <w:t>无重特大刑事案件；</w:t>
            </w:r>
            <w:r>
              <w:rPr>
                <w:spacing w:val="-2"/>
                <w:sz w:val="21"/>
                <w:szCs w:val="21"/>
              </w:rPr>
              <w:t>根据本单位</w:t>
            </w:r>
            <w:r>
              <w:rPr>
                <w:rFonts w:hint="eastAsia"/>
                <w:spacing w:val="-2"/>
                <w:sz w:val="21"/>
                <w:szCs w:val="21"/>
              </w:rPr>
              <w:t>的</w:t>
            </w:r>
            <w:r>
              <w:rPr>
                <w:spacing w:val="-2"/>
                <w:sz w:val="21"/>
                <w:szCs w:val="21"/>
              </w:rPr>
              <w:t>特点做好安全生产及重点部位的安全防范管理工作</w:t>
            </w:r>
            <w:r>
              <w:rPr>
                <w:rFonts w:hint="eastAsia"/>
                <w:spacing w:val="-2"/>
                <w:sz w:val="21"/>
                <w:szCs w:val="21"/>
              </w:rPr>
              <w:t>；做好本单位外来人员管理及信息报送工作。</w:t>
            </w:r>
          </w:p>
        </w:tc>
        <w:tc>
          <w:tcPr>
            <w:tcW w:w="1023" w:type="dxa"/>
            <w:tcMar>
              <w:left w:w="20" w:type="dxa"/>
              <w:right w:w="20" w:type="dxa"/>
            </w:tcMar>
            <w:vAlign w:val="center"/>
          </w:tcPr>
          <w:p w14:paraId="16E49CB4">
            <w:pPr>
              <w:spacing w:line="240" w:lineRule="atLeast"/>
            </w:pPr>
          </w:p>
        </w:tc>
      </w:tr>
      <w:tr w14:paraId="66A1E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222" w:type="dxa"/>
            <w:vMerge w:val="continue"/>
            <w:vAlign w:val="center"/>
          </w:tcPr>
          <w:p w14:paraId="6EE8E0B9">
            <w:pPr>
              <w:spacing w:line="240" w:lineRule="atLeast"/>
              <w:jc w:val="center"/>
              <w:rPr>
                <w:b/>
                <w:bCs/>
              </w:rPr>
            </w:pPr>
          </w:p>
        </w:tc>
        <w:tc>
          <w:tcPr>
            <w:tcW w:w="2130" w:type="dxa"/>
            <w:vMerge w:val="continue"/>
            <w:tcMar>
              <w:left w:w="20" w:type="dxa"/>
              <w:right w:w="20" w:type="dxa"/>
            </w:tcMar>
            <w:vAlign w:val="center"/>
          </w:tcPr>
          <w:p w14:paraId="3186424D">
            <w:pPr>
              <w:spacing w:line="300" w:lineRule="exact"/>
              <w:jc w:val="center"/>
            </w:pPr>
          </w:p>
        </w:tc>
        <w:tc>
          <w:tcPr>
            <w:tcW w:w="6093" w:type="dxa"/>
            <w:vAlign w:val="center"/>
          </w:tcPr>
          <w:p w14:paraId="7BA69128">
            <w:pPr>
              <w:keepNext w:val="0"/>
              <w:keepLines w:val="0"/>
              <w:pageBreakBefore w:val="0"/>
              <w:kinsoku/>
              <w:wordWrap/>
              <w:overflowPunct/>
              <w:topLinePunct w:val="0"/>
              <w:autoSpaceDE/>
              <w:autoSpaceDN/>
              <w:bidi w:val="0"/>
              <w:adjustRightInd/>
              <w:snapToGrid/>
              <w:spacing w:line="240" w:lineRule="atLeast"/>
              <w:ind w:left="0" w:leftChars="0"/>
              <w:textAlignment w:val="auto"/>
              <w:rPr>
                <w:sz w:val="21"/>
                <w:szCs w:val="21"/>
              </w:rPr>
            </w:pPr>
            <w:r>
              <w:rPr>
                <w:rFonts w:hint="eastAsia"/>
                <w:sz w:val="21"/>
                <w:szCs w:val="21"/>
              </w:rPr>
              <w:t>维护交通安全。</w:t>
            </w:r>
            <w:r>
              <w:rPr>
                <w:sz w:val="21"/>
                <w:szCs w:val="21"/>
              </w:rPr>
              <w:t>执行校园交通管理规</w:t>
            </w:r>
            <w:r>
              <w:rPr>
                <w:rFonts w:hint="eastAsia"/>
                <w:sz w:val="21"/>
                <w:szCs w:val="21"/>
              </w:rPr>
              <w:t>定，无重大交通责任事故，保障校园安全有序。</w:t>
            </w:r>
          </w:p>
        </w:tc>
        <w:tc>
          <w:tcPr>
            <w:tcW w:w="1023" w:type="dxa"/>
            <w:tcMar>
              <w:left w:w="20" w:type="dxa"/>
              <w:right w:w="20" w:type="dxa"/>
            </w:tcMar>
            <w:vAlign w:val="center"/>
          </w:tcPr>
          <w:p w14:paraId="0BE3A12A">
            <w:pPr>
              <w:spacing w:line="240" w:lineRule="atLeast"/>
            </w:pPr>
          </w:p>
        </w:tc>
      </w:tr>
      <w:tr w14:paraId="4F1E3E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222" w:type="dxa"/>
            <w:vMerge w:val="restart"/>
            <w:vAlign w:val="center"/>
          </w:tcPr>
          <w:p w14:paraId="2C03D222">
            <w:pPr>
              <w:spacing w:line="240" w:lineRule="atLeast"/>
              <w:jc w:val="center"/>
              <w:rPr>
                <w:b/>
                <w:bCs/>
              </w:rPr>
            </w:pPr>
            <w:r>
              <w:rPr>
                <w:rFonts w:hint="eastAsia"/>
                <w:b/>
              </w:rPr>
              <w:t>九、行政、财务管理</w:t>
            </w:r>
          </w:p>
        </w:tc>
        <w:tc>
          <w:tcPr>
            <w:tcW w:w="2130" w:type="dxa"/>
            <w:vMerge w:val="restart"/>
            <w:tcMar>
              <w:left w:w="20" w:type="dxa"/>
              <w:right w:w="20" w:type="dxa"/>
            </w:tcMar>
            <w:vAlign w:val="center"/>
          </w:tcPr>
          <w:p w14:paraId="2CF64112">
            <w:pPr>
              <w:spacing w:line="300" w:lineRule="exact"/>
              <w:jc w:val="center"/>
            </w:pPr>
            <w:r>
              <w:rPr>
                <w:rFonts w:hint="eastAsia"/>
              </w:rPr>
              <w:t>行政管理及公共卫生</w:t>
            </w:r>
            <w:r>
              <w:rPr>
                <w:color w:val="FF0000"/>
              </w:rPr>
              <w:t>（党办</w:t>
            </w:r>
            <w:r>
              <w:rPr>
                <w:rFonts w:hint="eastAsia"/>
                <w:color w:val="FF0000"/>
                <w:lang w:val="en-US" w:eastAsia="zh-CN"/>
              </w:rPr>
              <w:t>/</w:t>
            </w:r>
            <w:r>
              <w:rPr>
                <w:color w:val="FF0000"/>
              </w:rPr>
              <w:t>院办、后管处）</w:t>
            </w:r>
          </w:p>
        </w:tc>
        <w:tc>
          <w:tcPr>
            <w:tcW w:w="6093" w:type="dxa"/>
            <w:vAlign w:val="center"/>
          </w:tcPr>
          <w:p w14:paraId="46E2710E">
            <w:pPr>
              <w:keepNext w:val="0"/>
              <w:keepLines w:val="0"/>
              <w:pageBreakBefore w:val="0"/>
              <w:kinsoku/>
              <w:wordWrap/>
              <w:overflowPunct/>
              <w:topLinePunct w:val="0"/>
              <w:autoSpaceDE/>
              <w:autoSpaceDN/>
              <w:bidi w:val="0"/>
              <w:adjustRightInd/>
              <w:snapToGrid/>
              <w:spacing w:line="240" w:lineRule="atLeast"/>
              <w:ind w:left="0" w:leftChars="0"/>
              <w:textAlignment w:val="auto"/>
              <w:rPr>
                <w:sz w:val="21"/>
                <w:szCs w:val="21"/>
              </w:rPr>
            </w:pPr>
            <w:r>
              <w:rPr>
                <w:rFonts w:hint="eastAsia"/>
                <w:sz w:val="21"/>
                <w:szCs w:val="21"/>
              </w:rPr>
              <w:t>严格遵守学校各项管理制度和规定，配合督查督办工作，落实学校各项决策部署，做好各项行政工作，包括保密、信访、提案、信息、统计、档案、会议、公文管理、印信管理、行政值班、公务用车等，达到学校要求，做好信息报送工作。</w:t>
            </w:r>
          </w:p>
        </w:tc>
        <w:tc>
          <w:tcPr>
            <w:tcW w:w="1023" w:type="dxa"/>
            <w:tcMar>
              <w:left w:w="20" w:type="dxa"/>
              <w:right w:w="20" w:type="dxa"/>
            </w:tcMar>
            <w:vAlign w:val="center"/>
          </w:tcPr>
          <w:p w14:paraId="3C1992F7">
            <w:pPr>
              <w:spacing w:line="240" w:lineRule="atLeast"/>
            </w:pPr>
          </w:p>
        </w:tc>
      </w:tr>
      <w:tr w14:paraId="0BDA0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1222" w:type="dxa"/>
            <w:vMerge w:val="continue"/>
            <w:vAlign w:val="center"/>
          </w:tcPr>
          <w:p w14:paraId="6E2D71A1">
            <w:pPr>
              <w:spacing w:line="240" w:lineRule="atLeast"/>
              <w:jc w:val="center"/>
              <w:rPr>
                <w:b/>
              </w:rPr>
            </w:pPr>
          </w:p>
        </w:tc>
        <w:tc>
          <w:tcPr>
            <w:tcW w:w="2130" w:type="dxa"/>
            <w:vMerge w:val="continue"/>
            <w:tcMar>
              <w:left w:w="20" w:type="dxa"/>
              <w:right w:w="20" w:type="dxa"/>
            </w:tcMar>
            <w:vAlign w:val="center"/>
          </w:tcPr>
          <w:p w14:paraId="774A5233">
            <w:pPr>
              <w:spacing w:line="300" w:lineRule="exact"/>
              <w:jc w:val="center"/>
            </w:pPr>
          </w:p>
        </w:tc>
        <w:tc>
          <w:tcPr>
            <w:tcW w:w="6093" w:type="dxa"/>
            <w:vAlign w:val="center"/>
          </w:tcPr>
          <w:p w14:paraId="3054323A">
            <w:pPr>
              <w:keepNext w:val="0"/>
              <w:keepLines w:val="0"/>
              <w:pageBreakBefore w:val="0"/>
              <w:kinsoku/>
              <w:wordWrap/>
              <w:overflowPunct/>
              <w:topLinePunct w:val="0"/>
              <w:autoSpaceDE/>
              <w:autoSpaceDN/>
              <w:bidi w:val="0"/>
              <w:adjustRightInd/>
              <w:snapToGrid/>
              <w:spacing w:line="240" w:lineRule="atLeast"/>
              <w:ind w:left="0" w:leftChars="0"/>
              <w:textAlignment w:val="auto"/>
              <w:rPr>
                <w:sz w:val="21"/>
                <w:szCs w:val="21"/>
              </w:rPr>
            </w:pPr>
            <w:r>
              <w:rPr>
                <w:rFonts w:hint="eastAsia"/>
                <w:sz w:val="21"/>
                <w:szCs w:val="21"/>
              </w:rPr>
              <w:t>建立传染病防治组织体系；学生健康档案建档详实，因病缺勤追踪记录完整；传染病相关信息排查上报及时、准确，对肺结核确诊病例严格按照休复学制度执行，对单纯PPD强阳性人员（包括肺结核病例的密接人员、入校新生及新进职工）进行预防性服药，应服尽服；建立学院健康教育宣教队伍，积极配合开展健康教育活动。</w:t>
            </w:r>
          </w:p>
        </w:tc>
        <w:tc>
          <w:tcPr>
            <w:tcW w:w="1023" w:type="dxa"/>
            <w:tcMar>
              <w:left w:w="20" w:type="dxa"/>
              <w:right w:w="20" w:type="dxa"/>
            </w:tcMar>
            <w:vAlign w:val="center"/>
          </w:tcPr>
          <w:p w14:paraId="73096A20">
            <w:pPr>
              <w:spacing w:line="240" w:lineRule="atLeast"/>
            </w:pPr>
          </w:p>
        </w:tc>
      </w:tr>
      <w:tr w14:paraId="0C8AD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222" w:type="dxa"/>
            <w:vMerge w:val="continue"/>
            <w:vAlign w:val="center"/>
          </w:tcPr>
          <w:p w14:paraId="76D0F5E3">
            <w:pPr>
              <w:spacing w:line="240" w:lineRule="atLeast"/>
              <w:jc w:val="center"/>
              <w:rPr>
                <w:b/>
              </w:rPr>
            </w:pPr>
          </w:p>
        </w:tc>
        <w:tc>
          <w:tcPr>
            <w:tcW w:w="2130" w:type="dxa"/>
            <w:tcMar>
              <w:left w:w="20" w:type="dxa"/>
              <w:right w:w="20" w:type="dxa"/>
            </w:tcMar>
            <w:vAlign w:val="center"/>
          </w:tcPr>
          <w:p w14:paraId="3E630355">
            <w:pPr>
              <w:spacing w:line="300" w:lineRule="exact"/>
              <w:jc w:val="center"/>
              <w:rPr>
                <w:rFonts w:hint="eastAsia"/>
              </w:rPr>
            </w:pPr>
            <w:r>
              <w:rPr>
                <w:rFonts w:hint="eastAsia"/>
              </w:rPr>
              <w:t>人事管理</w:t>
            </w:r>
          </w:p>
          <w:p w14:paraId="4B4226A5">
            <w:pPr>
              <w:spacing w:line="300" w:lineRule="exact"/>
              <w:jc w:val="center"/>
            </w:pPr>
            <w:r>
              <w:rPr>
                <w:rFonts w:hint="eastAsia"/>
                <w:color w:val="FF0000"/>
              </w:rPr>
              <w:t>（人事处）</w:t>
            </w:r>
          </w:p>
        </w:tc>
        <w:tc>
          <w:tcPr>
            <w:tcW w:w="6093" w:type="dxa"/>
            <w:vAlign w:val="center"/>
          </w:tcPr>
          <w:p w14:paraId="3BB5CB25">
            <w:pPr>
              <w:keepNext w:val="0"/>
              <w:keepLines w:val="0"/>
              <w:pageBreakBefore w:val="0"/>
              <w:kinsoku/>
              <w:wordWrap/>
              <w:overflowPunct/>
              <w:topLinePunct w:val="0"/>
              <w:autoSpaceDE/>
              <w:autoSpaceDN/>
              <w:bidi w:val="0"/>
              <w:adjustRightInd/>
              <w:snapToGrid/>
              <w:spacing w:line="240" w:lineRule="atLeast"/>
              <w:ind w:left="0" w:leftChars="0"/>
              <w:textAlignment w:val="auto"/>
              <w:rPr>
                <w:sz w:val="21"/>
                <w:szCs w:val="21"/>
              </w:rPr>
            </w:pPr>
            <w:r>
              <w:rPr>
                <w:rFonts w:hint="eastAsia"/>
                <w:sz w:val="21"/>
                <w:szCs w:val="21"/>
              </w:rPr>
              <w:t>领导重视，教职工聘用合同履约情况良好。考勤程序规范，材料齐备，工作完成及时、准确。对各类考核（岗位考核、聘期考核、年度考核等）政策理解正确，考核程序规范。及时完成日常人事管理工作，支持学校人事管理工作的推进。</w:t>
            </w:r>
          </w:p>
        </w:tc>
        <w:tc>
          <w:tcPr>
            <w:tcW w:w="1023" w:type="dxa"/>
            <w:tcMar>
              <w:left w:w="20" w:type="dxa"/>
              <w:right w:w="20" w:type="dxa"/>
            </w:tcMar>
            <w:vAlign w:val="center"/>
          </w:tcPr>
          <w:p w14:paraId="2DAFF91F">
            <w:pPr>
              <w:spacing w:line="240" w:lineRule="atLeast"/>
            </w:pPr>
          </w:p>
        </w:tc>
      </w:tr>
      <w:tr w14:paraId="04651B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1222" w:type="dxa"/>
            <w:vMerge w:val="continue"/>
            <w:vAlign w:val="center"/>
          </w:tcPr>
          <w:p w14:paraId="45159433">
            <w:pPr>
              <w:spacing w:line="240" w:lineRule="atLeast"/>
              <w:jc w:val="center"/>
              <w:rPr>
                <w:b/>
                <w:bCs/>
              </w:rPr>
            </w:pPr>
          </w:p>
        </w:tc>
        <w:tc>
          <w:tcPr>
            <w:tcW w:w="2130" w:type="dxa"/>
            <w:tcMar>
              <w:left w:w="20" w:type="dxa"/>
              <w:right w:w="20" w:type="dxa"/>
            </w:tcMar>
            <w:vAlign w:val="center"/>
          </w:tcPr>
          <w:p w14:paraId="38F6BDC1">
            <w:pPr>
              <w:spacing w:line="300" w:lineRule="exact"/>
              <w:jc w:val="center"/>
              <w:rPr>
                <w:rFonts w:hint="eastAsia"/>
              </w:rPr>
            </w:pPr>
            <w:r>
              <w:rPr>
                <w:rFonts w:hint="eastAsia"/>
              </w:rPr>
              <w:t>财务管理</w:t>
            </w:r>
          </w:p>
          <w:p w14:paraId="75BD3A3E">
            <w:pPr>
              <w:spacing w:line="300" w:lineRule="exact"/>
              <w:jc w:val="center"/>
            </w:pPr>
            <w:r>
              <w:rPr>
                <w:rFonts w:hint="eastAsia"/>
                <w:color w:val="FF0000"/>
              </w:rPr>
              <w:t>（计财处）</w:t>
            </w:r>
          </w:p>
        </w:tc>
        <w:tc>
          <w:tcPr>
            <w:tcW w:w="6093" w:type="dxa"/>
            <w:vAlign w:val="center"/>
          </w:tcPr>
          <w:p w14:paraId="53891D59">
            <w:pPr>
              <w:keepNext w:val="0"/>
              <w:keepLines w:val="0"/>
              <w:pageBreakBefore w:val="0"/>
              <w:kinsoku/>
              <w:wordWrap/>
              <w:overflowPunct/>
              <w:topLinePunct w:val="0"/>
              <w:autoSpaceDE/>
              <w:autoSpaceDN/>
              <w:bidi w:val="0"/>
              <w:adjustRightInd/>
              <w:snapToGrid/>
              <w:spacing w:line="240" w:lineRule="atLeast"/>
              <w:ind w:left="0" w:leftChars="0"/>
              <w:textAlignment w:val="auto"/>
              <w:rPr>
                <w:sz w:val="21"/>
                <w:szCs w:val="21"/>
              </w:rPr>
            </w:pPr>
            <w:r>
              <w:rPr>
                <w:rFonts w:hint="eastAsia"/>
              </w:rPr>
              <w:t>合理编制经费预算，预算调整符合程序，按计划、按预算使用；遵守财经纪律，经费开支符合财务相关规范；专项经费使用规范，执行进度符合项目计划；协助做好学生收费工作，学生欠费率低于0.5%；准确及时完成各类收入分配手续；配合做好外汇收付相关工作；配合完成收费标准申请和调整工作；分别设置有教工、学生事务财务联系人，积极参加财务培训，效果良好。</w:t>
            </w:r>
          </w:p>
        </w:tc>
        <w:tc>
          <w:tcPr>
            <w:tcW w:w="1023" w:type="dxa"/>
            <w:tcMar>
              <w:left w:w="20" w:type="dxa"/>
              <w:right w:w="20" w:type="dxa"/>
            </w:tcMar>
            <w:vAlign w:val="center"/>
          </w:tcPr>
          <w:p w14:paraId="69E2D5B5">
            <w:pPr>
              <w:spacing w:line="240" w:lineRule="atLeast"/>
            </w:pPr>
          </w:p>
        </w:tc>
      </w:tr>
      <w:tr w14:paraId="6DB65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22" w:type="dxa"/>
            <w:vMerge w:val="restart"/>
            <w:vAlign w:val="center"/>
          </w:tcPr>
          <w:p w14:paraId="5F8341F5">
            <w:pPr>
              <w:spacing w:line="240" w:lineRule="atLeast"/>
              <w:jc w:val="center"/>
              <w:rPr>
                <w:b/>
              </w:rPr>
            </w:pPr>
            <w:r>
              <w:rPr>
                <w:rFonts w:hint="eastAsia"/>
                <w:b/>
              </w:rPr>
              <w:t>十、工会</w:t>
            </w:r>
          </w:p>
          <w:p w14:paraId="6CA7C516">
            <w:pPr>
              <w:spacing w:line="240" w:lineRule="atLeast"/>
              <w:jc w:val="center"/>
              <w:rPr>
                <w:rFonts w:hint="eastAsia"/>
                <w:b/>
              </w:rPr>
            </w:pPr>
            <w:r>
              <w:rPr>
                <w:rFonts w:hint="eastAsia"/>
                <w:b/>
              </w:rPr>
              <w:t>工作</w:t>
            </w:r>
          </w:p>
          <w:p w14:paraId="63B59785">
            <w:pPr>
              <w:spacing w:line="240" w:lineRule="atLeast"/>
              <w:jc w:val="center"/>
              <w:rPr>
                <w:b/>
              </w:rPr>
            </w:pPr>
            <w:r>
              <w:rPr>
                <w:rFonts w:hint="eastAsia"/>
                <w:b/>
                <w:color w:val="FF0000"/>
              </w:rPr>
              <w:t>（工会）</w:t>
            </w:r>
          </w:p>
        </w:tc>
        <w:tc>
          <w:tcPr>
            <w:tcW w:w="2130" w:type="dxa"/>
            <w:tcMar>
              <w:left w:w="20" w:type="dxa"/>
              <w:right w:w="20" w:type="dxa"/>
            </w:tcMar>
            <w:vAlign w:val="center"/>
          </w:tcPr>
          <w:p w14:paraId="1C462423">
            <w:pPr>
              <w:spacing w:line="300" w:lineRule="exact"/>
              <w:jc w:val="center"/>
            </w:pPr>
            <w:r>
              <w:rPr>
                <w:rFonts w:hint="eastAsia"/>
              </w:rPr>
              <w:t>加强政治建设、</w:t>
            </w:r>
          </w:p>
          <w:p w14:paraId="134E325B">
            <w:pPr>
              <w:spacing w:line="300" w:lineRule="exact"/>
              <w:jc w:val="center"/>
            </w:pPr>
            <w:r>
              <w:rPr>
                <w:rFonts w:hint="eastAsia"/>
              </w:rPr>
              <w:t>营造良好氛围</w:t>
            </w:r>
          </w:p>
        </w:tc>
        <w:tc>
          <w:tcPr>
            <w:tcW w:w="6093" w:type="dxa"/>
            <w:vAlign w:val="center"/>
          </w:tcPr>
          <w:p w14:paraId="1A8DF964">
            <w:pPr>
              <w:keepNext w:val="0"/>
              <w:keepLines w:val="0"/>
              <w:pageBreakBefore w:val="0"/>
              <w:kinsoku/>
              <w:wordWrap/>
              <w:overflowPunct/>
              <w:topLinePunct w:val="0"/>
              <w:autoSpaceDE/>
              <w:autoSpaceDN/>
              <w:bidi w:val="0"/>
              <w:adjustRightInd/>
              <w:snapToGrid/>
              <w:spacing w:line="240" w:lineRule="atLeast"/>
              <w:ind w:left="0" w:leftChars="0"/>
              <w:textAlignment w:val="auto"/>
              <w:rPr>
                <w:sz w:val="21"/>
                <w:szCs w:val="21"/>
              </w:rPr>
            </w:pPr>
            <w:r>
              <w:rPr>
                <w:rFonts w:hint="eastAsia"/>
                <w:spacing w:val="-4"/>
                <w:sz w:val="21"/>
                <w:szCs w:val="21"/>
              </w:rPr>
              <w:t>加强政治建设、职工职业道德建设，分工会职能发挥显著，教职工精神面貌积极向上。做好各类先进评选、慈善捐赠等公益等工作。</w:t>
            </w:r>
          </w:p>
        </w:tc>
        <w:tc>
          <w:tcPr>
            <w:tcW w:w="1023" w:type="dxa"/>
            <w:tcMar>
              <w:left w:w="20" w:type="dxa"/>
              <w:right w:w="20" w:type="dxa"/>
            </w:tcMar>
            <w:vAlign w:val="center"/>
          </w:tcPr>
          <w:p w14:paraId="21EB3D1D">
            <w:pPr>
              <w:spacing w:line="240" w:lineRule="atLeast"/>
            </w:pPr>
          </w:p>
        </w:tc>
      </w:tr>
      <w:tr w14:paraId="66157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222" w:type="dxa"/>
            <w:vMerge w:val="continue"/>
            <w:vAlign w:val="center"/>
          </w:tcPr>
          <w:p w14:paraId="5A3325D7">
            <w:pPr>
              <w:spacing w:line="240" w:lineRule="atLeast"/>
              <w:jc w:val="center"/>
              <w:rPr>
                <w:b/>
                <w:bCs/>
              </w:rPr>
            </w:pPr>
          </w:p>
        </w:tc>
        <w:tc>
          <w:tcPr>
            <w:tcW w:w="2130" w:type="dxa"/>
            <w:tcMar>
              <w:left w:w="20" w:type="dxa"/>
              <w:right w:w="20" w:type="dxa"/>
            </w:tcMar>
            <w:vAlign w:val="center"/>
          </w:tcPr>
          <w:p w14:paraId="042447AD">
            <w:pPr>
              <w:spacing w:line="300" w:lineRule="exact"/>
              <w:jc w:val="center"/>
            </w:pPr>
            <w:r>
              <w:rPr>
                <w:rFonts w:hint="eastAsia"/>
              </w:rPr>
              <w:t>加强民主管理</w:t>
            </w:r>
          </w:p>
        </w:tc>
        <w:tc>
          <w:tcPr>
            <w:tcW w:w="6093" w:type="dxa"/>
            <w:vAlign w:val="center"/>
          </w:tcPr>
          <w:p w14:paraId="44C35978">
            <w:pPr>
              <w:spacing w:line="240" w:lineRule="atLeast"/>
              <w:ind w:left="105" w:leftChars="50"/>
              <w:rPr>
                <w:sz w:val="21"/>
                <w:szCs w:val="21"/>
              </w:rPr>
            </w:pPr>
            <w:r>
              <w:rPr>
                <w:rFonts w:hint="eastAsia"/>
                <w:sz w:val="21"/>
                <w:szCs w:val="21"/>
              </w:rPr>
              <w:t>组织召开二级教职工大会，</w:t>
            </w:r>
            <w:r>
              <w:rPr>
                <w:sz w:val="21"/>
                <w:szCs w:val="21"/>
              </w:rPr>
              <w:t>听取本单位年度工作报告、财务工作报告</w:t>
            </w:r>
            <w:r>
              <w:rPr>
                <w:rFonts w:hint="eastAsia"/>
                <w:sz w:val="21"/>
                <w:szCs w:val="21"/>
              </w:rPr>
              <w:t>、</w:t>
            </w:r>
            <w:r>
              <w:rPr>
                <w:sz w:val="21"/>
                <w:szCs w:val="21"/>
              </w:rPr>
              <w:t>发展规划、工作计划、教职工队伍建设等重大问题和改革方案的报告，提出意见和建议。通过涉及教职工切身利益的劳动报酬、福利待遇等分配实施方案以及教职工聘任、考核、奖惩办法等其它重要管理制度和办法</w:t>
            </w:r>
            <w:r>
              <w:rPr>
                <w:rFonts w:hint="eastAsia"/>
                <w:sz w:val="21"/>
                <w:szCs w:val="21"/>
              </w:rPr>
              <w:t>并及时报道1篇以上。</w:t>
            </w:r>
          </w:p>
        </w:tc>
        <w:tc>
          <w:tcPr>
            <w:tcW w:w="1023" w:type="dxa"/>
            <w:tcMar>
              <w:left w:w="20" w:type="dxa"/>
              <w:right w:w="20" w:type="dxa"/>
            </w:tcMar>
            <w:vAlign w:val="center"/>
          </w:tcPr>
          <w:p w14:paraId="325DE742">
            <w:pPr>
              <w:spacing w:line="240" w:lineRule="atLeast"/>
            </w:pPr>
          </w:p>
        </w:tc>
      </w:tr>
      <w:tr w14:paraId="0C6E7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22" w:type="dxa"/>
            <w:vMerge w:val="continue"/>
            <w:vAlign w:val="center"/>
          </w:tcPr>
          <w:p w14:paraId="5FA428F1">
            <w:pPr>
              <w:spacing w:line="240" w:lineRule="atLeast"/>
              <w:jc w:val="center"/>
              <w:rPr>
                <w:b/>
                <w:bCs/>
              </w:rPr>
            </w:pPr>
          </w:p>
        </w:tc>
        <w:tc>
          <w:tcPr>
            <w:tcW w:w="2130" w:type="dxa"/>
            <w:tcMar>
              <w:left w:w="20" w:type="dxa"/>
              <w:right w:w="20" w:type="dxa"/>
            </w:tcMar>
            <w:vAlign w:val="center"/>
          </w:tcPr>
          <w:p w14:paraId="345AB6E3">
            <w:pPr>
              <w:spacing w:line="300" w:lineRule="exact"/>
              <w:jc w:val="center"/>
            </w:pPr>
            <w:r>
              <w:rPr>
                <w:rFonts w:hint="eastAsia"/>
              </w:rPr>
              <w:t>做好职工慰问工作</w:t>
            </w:r>
          </w:p>
        </w:tc>
        <w:tc>
          <w:tcPr>
            <w:tcW w:w="6093" w:type="dxa"/>
            <w:vAlign w:val="center"/>
          </w:tcPr>
          <w:p w14:paraId="64C8CE63">
            <w:pPr>
              <w:spacing w:line="240" w:lineRule="atLeast"/>
              <w:ind w:left="105" w:leftChars="50"/>
              <w:rPr>
                <w:sz w:val="21"/>
                <w:szCs w:val="21"/>
              </w:rPr>
            </w:pPr>
            <w:r>
              <w:rPr>
                <w:rFonts w:hint="eastAsia"/>
                <w:sz w:val="21"/>
                <w:szCs w:val="21"/>
              </w:rPr>
              <w:t>做好教职工家庭大事“六必访”联系工作；做好关心困难教职工工作、生活。</w:t>
            </w:r>
          </w:p>
        </w:tc>
        <w:tc>
          <w:tcPr>
            <w:tcW w:w="1023" w:type="dxa"/>
            <w:tcMar>
              <w:left w:w="20" w:type="dxa"/>
              <w:right w:w="20" w:type="dxa"/>
            </w:tcMar>
            <w:vAlign w:val="center"/>
          </w:tcPr>
          <w:p w14:paraId="6401EE75">
            <w:pPr>
              <w:spacing w:line="240" w:lineRule="atLeast"/>
            </w:pPr>
          </w:p>
        </w:tc>
      </w:tr>
      <w:tr w14:paraId="369DA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22" w:type="dxa"/>
            <w:vMerge w:val="continue"/>
            <w:vAlign w:val="center"/>
          </w:tcPr>
          <w:p w14:paraId="75C6B288">
            <w:pPr>
              <w:spacing w:line="240" w:lineRule="atLeast"/>
              <w:jc w:val="center"/>
              <w:rPr>
                <w:b/>
                <w:bCs/>
              </w:rPr>
            </w:pPr>
          </w:p>
        </w:tc>
        <w:tc>
          <w:tcPr>
            <w:tcW w:w="2130" w:type="dxa"/>
            <w:tcMar>
              <w:left w:w="20" w:type="dxa"/>
              <w:right w:w="20" w:type="dxa"/>
            </w:tcMar>
            <w:vAlign w:val="center"/>
          </w:tcPr>
          <w:p w14:paraId="39E7CA62">
            <w:pPr>
              <w:spacing w:line="300" w:lineRule="exact"/>
              <w:jc w:val="center"/>
            </w:pPr>
            <w:r>
              <w:rPr>
                <w:rFonts w:hint="eastAsia"/>
              </w:rPr>
              <w:t>开展健康向上的</w:t>
            </w:r>
          </w:p>
          <w:p w14:paraId="2D8188A9">
            <w:pPr>
              <w:spacing w:line="300" w:lineRule="exact"/>
              <w:jc w:val="center"/>
            </w:pPr>
            <w:r>
              <w:rPr>
                <w:rFonts w:hint="eastAsia"/>
              </w:rPr>
              <w:t>文体活动</w:t>
            </w:r>
          </w:p>
        </w:tc>
        <w:tc>
          <w:tcPr>
            <w:tcW w:w="6093" w:type="dxa"/>
            <w:vAlign w:val="center"/>
          </w:tcPr>
          <w:p w14:paraId="2C458799">
            <w:pPr>
              <w:spacing w:line="240" w:lineRule="atLeast"/>
              <w:ind w:left="105" w:leftChars="50"/>
              <w:rPr>
                <w:sz w:val="21"/>
                <w:szCs w:val="21"/>
              </w:rPr>
            </w:pPr>
            <w:r>
              <w:rPr>
                <w:rFonts w:hint="eastAsia"/>
                <w:sz w:val="21"/>
                <w:szCs w:val="21"/>
              </w:rPr>
              <w:t>组织教职工参加校运动会、文艺演出、羽毛球赛等大型文体活动，参与率高，效果好。组织好“春秋一日往返游”等其他文体活动等。</w:t>
            </w:r>
          </w:p>
        </w:tc>
        <w:tc>
          <w:tcPr>
            <w:tcW w:w="1023" w:type="dxa"/>
            <w:tcMar>
              <w:left w:w="20" w:type="dxa"/>
              <w:right w:w="20" w:type="dxa"/>
            </w:tcMar>
            <w:vAlign w:val="center"/>
          </w:tcPr>
          <w:p w14:paraId="5015D33D">
            <w:pPr>
              <w:spacing w:line="240" w:lineRule="atLeast"/>
            </w:pPr>
          </w:p>
        </w:tc>
      </w:tr>
      <w:tr w14:paraId="104C7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222" w:type="dxa"/>
            <w:vMerge w:val="continue"/>
            <w:vAlign w:val="center"/>
          </w:tcPr>
          <w:p w14:paraId="3EEC43C7">
            <w:pPr>
              <w:spacing w:line="240" w:lineRule="atLeast"/>
              <w:jc w:val="center"/>
              <w:rPr>
                <w:b/>
                <w:bCs/>
              </w:rPr>
            </w:pPr>
          </w:p>
        </w:tc>
        <w:tc>
          <w:tcPr>
            <w:tcW w:w="2130" w:type="dxa"/>
            <w:tcMar>
              <w:left w:w="20" w:type="dxa"/>
              <w:right w:w="20" w:type="dxa"/>
            </w:tcMar>
            <w:vAlign w:val="center"/>
          </w:tcPr>
          <w:p w14:paraId="2D4D65E5">
            <w:pPr>
              <w:spacing w:line="300" w:lineRule="exact"/>
              <w:jc w:val="center"/>
            </w:pPr>
            <w:r>
              <w:rPr>
                <w:rFonts w:hint="eastAsia"/>
              </w:rPr>
              <w:t>分工会自身建设</w:t>
            </w:r>
          </w:p>
        </w:tc>
        <w:tc>
          <w:tcPr>
            <w:tcW w:w="6093" w:type="dxa"/>
            <w:vAlign w:val="center"/>
          </w:tcPr>
          <w:p w14:paraId="3FBC2DEC">
            <w:pPr>
              <w:spacing w:line="240" w:lineRule="atLeast"/>
              <w:ind w:left="105" w:leftChars="50"/>
              <w:rPr>
                <w:sz w:val="21"/>
                <w:szCs w:val="21"/>
              </w:rPr>
            </w:pPr>
            <w:r>
              <w:rPr>
                <w:rFonts w:hint="eastAsia"/>
                <w:sz w:val="21"/>
                <w:szCs w:val="21"/>
              </w:rPr>
              <w:t>二级党组织重视分工会建设，听取研究分工会工作</w:t>
            </w:r>
            <w:r>
              <w:rPr>
                <w:rFonts w:hint="eastAsia"/>
                <w:color w:val="FF0000"/>
                <w:sz w:val="21"/>
                <w:szCs w:val="21"/>
                <w:lang w:val="en-US" w:eastAsia="zh-CN"/>
              </w:rPr>
              <w:t>X</w:t>
            </w:r>
            <w:r>
              <w:rPr>
                <w:rFonts w:hint="eastAsia"/>
                <w:sz w:val="21"/>
                <w:szCs w:val="21"/>
              </w:rPr>
              <w:t>次以上；认真开展“职工小家”创建活动；分工会台账齐全、规范。开展工会工作相关研究。</w:t>
            </w:r>
          </w:p>
        </w:tc>
        <w:tc>
          <w:tcPr>
            <w:tcW w:w="1023" w:type="dxa"/>
            <w:tcMar>
              <w:left w:w="20" w:type="dxa"/>
              <w:right w:w="20" w:type="dxa"/>
            </w:tcMar>
            <w:vAlign w:val="center"/>
          </w:tcPr>
          <w:p w14:paraId="400330F9">
            <w:pPr>
              <w:spacing w:line="240" w:lineRule="atLeast"/>
            </w:pPr>
          </w:p>
        </w:tc>
      </w:tr>
      <w:tr w14:paraId="1E917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2" w:type="dxa"/>
            <w:vMerge w:val="restart"/>
            <w:vAlign w:val="center"/>
          </w:tcPr>
          <w:p w14:paraId="5AC54C19">
            <w:pPr>
              <w:spacing w:line="240" w:lineRule="atLeast"/>
              <w:jc w:val="center"/>
              <w:rPr>
                <w:rFonts w:hint="eastAsia"/>
                <w:b/>
              </w:rPr>
            </w:pPr>
            <w:r>
              <w:rPr>
                <w:rFonts w:hint="eastAsia"/>
                <w:b/>
              </w:rPr>
              <w:t>十一、资产管理</w:t>
            </w:r>
          </w:p>
          <w:p w14:paraId="1F9FE3B1">
            <w:pPr>
              <w:spacing w:line="240" w:lineRule="atLeast"/>
              <w:jc w:val="center"/>
              <w:rPr>
                <w:b/>
              </w:rPr>
            </w:pPr>
            <w:bookmarkStart w:id="0" w:name="_GoBack"/>
            <w:bookmarkEnd w:id="0"/>
            <w:r>
              <w:rPr>
                <w:rFonts w:hint="eastAsia"/>
                <w:b/>
                <w:color w:val="FF0000"/>
              </w:rPr>
              <w:t>（国资处）</w:t>
            </w:r>
          </w:p>
        </w:tc>
        <w:tc>
          <w:tcPr>
            <w:tcW w:w="2130" w:type="dxa"/>
            <w:tcMar>
              <w:left w:w="20" w:type="dxa"/>
              <w:right w:w="20" w:type="dxa"/>
            </w:tcMar>
            <w:vAlign w:val="center"/>
          </w:tcPr>
          <w:p w14:paraId="410A47FC">
            <w:pPr>
              <w:spacing w:line="300" w:lineRule="exact"/>
              <w:jc w:val="center"/>
            </w:pPr>
            <w:r>
              <w:rPr>
                <w:rFonts w:hint="eastAsia"/>
              </w:rPr>
              <w:t>教学科研</w:t>
            </w:r>
          </w:p>
          <w:p w14:paraId="4CC72B45">
            <w:pPr>
              <w:spacing w:line="300" w:lineRule="exact"/>
              <w:jc w:val="center"/>
            </w:pPr>
            <w:r>
              <w:rPr>
                <w:rFonts w:hint="eastAsia"/>
              </w:rPr>
              <w:t>仪器设备管理</w:t>
            </w:r>
          </w:p>
        </w:tc>
        <w:tc>
          <w:tcPr>
            <w:tcW w:w="6093" w:type="dxa"/>
            <w:shd w:val="clear" w:color="auto" w:fill="auto"/>
            <w:vAlign w:val="center"/>
          </w:tcPr>
          <w:p w14:paraId="51319876">
            <w:pPr>
              <w:spacing w:line="240" w:lineRule="atLeast"/>
              <w:ind w:left="105" w:leftChars="50"/>
              <w:rPr>
                <w:sz w:val="21"/>
                <w:szCs w:val="21"/>
              </w:rPr>
            </w:pPr>
            <w:r>
              <w:rPr>
                <w:rFonts w:hint="eastAsia"/>
                <w:sz w:val="21"/>
                <w:szCs w:val="21"/>
              </w:rPr>
              <w:t>管理规章和操作规程配备齐全、张贴规范、执行到位；仪器设备维修、维护、保养好，账、物、标签相符；调拨交接手续齐全；大型贵重仪器设备对产教融合的支持度高，绩效评估结果符合学校要求；单位资产管理的信息更新及时、报表准确完备。</w:t>
            </w:r>
          </w:p>
        </w:tc>
        <w:tc>
          <w:tcPr>
            <w:tcW w:w="1023" w:type="dxa"/>
            <w:tcMar>
              <w:left w:w="20" w:type="dxa"/>
              <w:right w:w="20" w:type="dxa"/>
            </w:tcMar>
            <w:vAlign w:val="center"/>
          </w:tcPr>
          <w:p w14:paraId="59B5BE2D">
            <w:pPr>
              <w:spacing w:line="240" w:lineRule="atLeast"/>
            </w:pPr>
          </w:p>
        </w:tc>
      </w:tr>
      <w:tr w14:paraId="15736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222" w:type="dxa"/>
            <w:vMerge w:val="continue"/>
            <w:vAlign w:val="center"/>
          </w:tcPr>
          <w:p w14:paraId="5A660E81">
            <w:pPr>
              <w:spacing w:line="240" w:lineRule="atLeast"/>
              <w:jc w:val="center"/>
              <w:rPr>
                <w:b/>
                <w:bCs/>
              </w:rPr>
            </w:pPr>
          </w:p>
        </w:tc>
        <w:tc>
          <w:tcPr>
            <w:tcW w:w="2130" w:type="dxa"/>
            <w:tcMar>
              <w:left w:w="20" w:type="dxa"/>
              <w:right w:w="20" w:type="dxa"/>
            </w:tcMar>
            <w:vAlign w:val="center"/>
          </w:tcPr>
          <w:p w14:paraId="57646AAA">
            <w:pPr>
              <w:spacing w:line="300" w:lineRule="exact"/>
              <w:jc w:val="center"/>
            </w:pPr>
            <w:r>
              <w:rPr>
                <w:rFonts w:hint="eastAsia"/>
              </w:rPr>
              <w:t>资产采购</w:t>
            </w:r>
          </w:p>
        </w:tc>
        <w:tc>
          <w:tcPr>
            <w:tcW w:w="6093" w:type="dxa"/>
            <w:shd w:val="clear" w:color="auto" w:fill="auto"/>
            <w:vAlign w:val="center"/>
          </w:tcPr>
          <w:p w14:paraId="517C6131">
            <w:pPr>
              <w:spacing w:line="240" w:lineRule="atLeast"/>
              <w:ind w:left="105" w:leftChars="50"/>
              <w:rPr>
                <w:sz w:val="21"/>
                <w:szCs w:val="21"/>
              </w:rPr>
            </w:pPr>
            <w:r>
              <w:rPr>
                <w:rFonts w:cs="宋体"/>
                <w:sz w:val="21"/>
                <w:szCs w:val="21"/>
              </w:rPr>
              <w:t>采购计划及预算编制科学，采购需求明确完整，项目论证科学规范，调整变更手续完备；采购事项符合政府采购和学校的相关规定；新购仪器设备及时配备责任人，安放调试科学合理，验收启用及时合规。</w:t>
            </w:r>
          </w:p>
        </w:tc>
        <w:tc>
          <w:tcPr>
            <w:tcW w:w="1023" w:type="dxa"/>
            <w:tcMar>
              <w:left w:w="20" w:type="dxa"/>
              <w:right w:w="20" w:type="dxa"/>
            </w:tcMar>
            <w:vAlign w:val="center"/>
          </w:tcPr>
          <w:p w14:paraId="60E7992A">
            <w:pPr>
              <w:spacing w:line="240" w:lineRule="atLeast"/>
            </w:pPr>
          </w:p>
        </w:tc>
      </w:tr>
      <w:tr w14:paraId="30EF6F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22" w:type="dxa"/>
            <w:vMerge w:val="continue"/>
            <w:vAlign w:val="center"/>
          </w:tcPr>
          <w:p w14:paraId="364CD3AF">
            <w:pPr>
              <w:spacing w:line="240" w:lineRule="atLeast"/>
              <w:jc w:val="center"/>
              <w:rPr>
                <w:b/>
                <w:bCs/>
              </w:rPr>
            </w:pPr>
          </w:p>
        </w:tc>
        <w:tc>
          <w:tcPr>
            <w:tcW w:w="2130" w:type="dxa"/>
            <w:tcMar>
              <w:left w:w="20" w:type="dxa"/>
              <w:right w:w="20" w:type="dxa"/>
            </w:tcMar>
            <w:vAlign w:val="center"/>
          </w:tcPr>
          <w:p w14:paraId="7B758A7D">
            <w:pPr>
              <w:spacing w:line="300" w:lineRule="exact"/>
              <w:jc w:val="center"/>
            </w:pPr>
            <w:r>
              <w:rPr>
                <w:rFonts w:hint="eastAsia"/>
              </w:rPr>
              <w:t>房产管理</w:t>
            </w:r>
          </w:p>
        </w:tc>
        <w:tc>
          <w:tcPr>
            <w:tcW w:w="6093" w:type="dxa"/>
            <w:vAlign w:val="center"/>
          </w:tcPr>
          <w:p w14:paraId="28B05D4F">
            <w:pPr>
              <w:spacing w:line="240" w:lineRule="atLeast"/>
              <w:ind w:left="105" w:leftChars="50"/>
              <w:rPr>
                <w:sz w:val="21"/>
                <w:szCs w:val="21"/>
              </w:rPr>
            </w:pPr>
            <w:r>
              <w:rPr>
                <w:rFonts w:hint="eastAsia"/>
                <w:sz w:val="21"/>
                <w:szCs w:val="21"/>
              </w:rPr>
              <w:t>各类用房安排合理、使用规范；房屋用途变更和改造及时报批，手续齐全；本单位无行政办公用房超标现象。</w:t>
            </w:r>
          </w:p>
        </w:tc>
        <w:tc>
          <w:tcPr>
            <w:tcW w:w="1023" w:type="dxa"/>
            <w:tcMar>
              <w:left w:w="20" w:type="dxa"/>
              <w:right w:w="20" w:type="dxa"/>
            </w:tcMar>
            <w:vAlign w:val="center"/>
          </w:tcPr>
          <w:p w14:paraId="2FD85EB4">
            <w:pPr>
              <w:spacing w:line="240" w:lineRule="atLeast"/>
            </w:pPr>
          </w:p>
        </w:tc>
      </w:tr>
    </w:tbl>
    <w:p w14:paraId="5A78618A">
      <w:pPr>
        <w:snapToGrid w:val="0"/>
        <w:spacing w:after="156" w:afterLines="50" w:line="400" w:lineRule="exact"/>
        <w:ind w:firstLine="480" w:firstLineChars="200"/>
        <w:rPr>
          <w:sz w:val="24"/>
        </w:rPr>
      </w:pPr>
    </w:p>
    <w:p w14:paraId="2041BB07">
      <w:pPr>
        <w:snapToGrid w:val="0"/>
        <w:spacing w:after="156" w:afterLines="50" w:line="400" w:lineRule="exact"/>
        <w:ind w:firstLine="480" w:firstLineChars="200"/>
        <w:rPr>
          <w:sz w:val="24"/>
        </w:rPr>
      </w:pPr>
    </w:p>
    <w:p w14:paraId="57B614B9">
      <w:pPr>
        <w:spacing w:before="156" w:beforeLines="50" w:line="560" w:lineRule="exact"/>
        <w:ind w:firstLine="632" w:firstLineChars="300"/>
        <w:rPr>
          <w:b/>
          <w:bCs w:val="0"/>
        </w:rPr>
      </w:pPr>
      <w:r>
        <w:rPr>
          <w:rFonts w:hint="eastAsia"/>
          <w:b/>
          <w:bCs w:val="0"/>
        </w:rPr>
        <w:t>党委书记：</w:t>
      </w:r>
      <w:r>
        <w:rPr>
          <w:rFonts w:hint="eastAsia"/>
          <w:b/>
          <w:bCs w:val="0"/>
          <w:lang w:val="en-US" w:eastAsia="zh-CN"/>
        </w:rPr>
        <w:t xml:space="preserve">                  </w:t>
      </w:r>
      <w:r>
        <w:rPr>
          <w:rFonts w:hint="eastAsia"/>
          <w:b/>
          <w:bCs w:val="0"/>
        </w:rPr>
        <w:t xml:space="preserve">             党委书记        </w:t>
      </w:r>
    </w:p>
    <w:p w14:paraId="2EA60083">
      <w:pPr>
        <w:spacing w:line="560" w:lineRule="exact"/>
        <w:ind w:left="-424" w:leftChars="-269" w:hanging="141" w:hangingChars="67"/>
        <w:rPr>
          <w:b/>
          <w:bCs w:val="0"/>
        </w:rPr>
      </w:pPr>
      <w:r>
        <w:rPr>
          <w:rFonts w:hint="eastAsia"/>
          <w:b/>
          <w:bCs w:val="0"/>
        </w:rPr>
        <w:t xml:space="preserve">常州工学院 </w:t>
      </w:r>
      <w:r>
        <w:rPr>
          <w:rFonts w:hint="eastAsia"/>
          <w:b/>
          <w:bCs w:val="0"/>
          <w:lang w:val="en-US" w:eastAsia="zh-CN"/>
        </w:rPr>
        <w:t xml:space="preserve">                            </w:t>
      </w:r>
      <w:r>
        <w:rPr>
          <w:rFonts w:hint="eastAsia"/>
          <w:b/>
          <w:bCs w:val="0"/>
        </w:rPr>
        <w:t xml:space="preserve">    二级学院  </w:t>
      </w:r>
    </w:p>
    <w:p w14:paraId="64F28CF7">
      <w:pPr>
        <w:spacing w:line="560" w:lineRule="exact"/>
        <w:ind w:firstLine="632" w:firstLineChars="300"/>
        <w:rPr>
          <w:rFonts w:hint="eastAsia"/>
        </w:rPr>
      </w:pPr>
      <w:r>
        <w:rPr>
          <w:rFonts w:hint="eastAsia"/>
          <w:b/>
          <w:bCs/>
        </w:rPr>
        <w:t>校</w:t>
      </w:r>
      <w:r>
        <w:rPr>
          <w:rFonts w:hint="eastAsia"/>
          <w:b/>
          <w:bCs/>
          <w:lang w:val="en-US" w:eastAsia="zh-CN"/>
        </w:rPr>
        <w:t xml:space="preserve">    </w:t>
      </w:r>
      <w:r>
        <w:rPr>
          <w:rFonts w:hint="eastAsia"/>
          <w:b/>
          <w:bCs/>
        </w:rPr>
        <w:t>长：</w:t>
      </w:r>
      <w:r>
        <w:rPr>
          <w:rFonts w:hint="eastAsia"/>
          <w:b/>
          <w:bCs/>
          <w:lang w:val="en-US" w:eastAsia="zh-CN"/>
        </w:rPr>
        <w:t xml:space="preserve">          </w:t>
      </w:r>
      <w:r>
        <w:rPr>
          <w:rFonts w:hint="eastAsia"/>
        </w:rPr>
        <w:t xml:space="preserve">                   </w:t>
      </w:r>
      <w:r>
        <w:rPr>
          <w:rFonts w:hint="eastAsia"/>
          <w:lang w:val="en-US" w:eastAsia="zh-CN"/>
        </w:rPr>
        <w:t xml:space="preserve">  </w:t>
      </w:r>
      <w:r>
        <w:rPr>
          <w:rFonts w:hint="eastAsia"/>
          <w:b/>
          <w:bCs w:val="0"/>
        </w:rPr>
        <w:t>院</w:t>
      </w:r>
      <w:r>
        <w:rPr>
          <w:rFonts w:hint="eastAsia"/>
          <w:b/>
          <w:bCs w:val="0"/>
          <w:lang w:val="en-US" w:eastAsia="zh-CN"/>
        </w:rPr>
        <w:t xml:space="preserve">  </w:t>
      </w:r>
      <w:r>
        <w:rPr>
          <w:rFonts w:hint="eastAsia"/>
          <w:b/>
          <w:bCs w:val="0"/>
        </w:rPr>
        <w:t>长：</w:t>
      </w:r>
      <w:r>
        <w:rPr>
          <w:rFonts w:hint="eastAsia"/>
          <w:b/>
          <w:bCs w:val="0"/>
          <w:lang w:val="en-US" w:eastAsia="zh-CN"/>
        </w:rPr>
        <w:t xml:space="preserve">  </w:t>
      </w:r>
      <w:r>
        <w:rPr>
          <w:rFonts w:hint="eastAsia"/>
        </w:rPr>
        <w:t xml:space="preserve"> </w:t>
      </w:r>
    </w:p>
    <w:p w14:paraId="456EAC7F">
      <w:pPr>
        <w:spacing w:line="560" w:lineRule="exact"/>
        <w:ind w:firstLine="630" w:firstLineChars="300"/>
        <w:rPr>
          <w:rFonts w:hint="eastAsia"/>
        </w:rPr>
      </w:pPr>
    </w:p>
    <w:p w14:paraId="6EB678D6">
      <w:pPr>
        <w:spacing w:before="312" w:beforeLines="100" w:line="560" w:lineRule="exact"/>
        <w:ind w:firstLine="6720" w:firstLineChars="3200"/>
      </w:pPr>
      <w:r>
        <w:rPr>
          <w:rFonts w:hint="eastAsia"/>
        </w:rPr>
        <w:t xml:space="preserve"> 二〇二</w:t>
      </w:r>
      <w:r>
        <w:rPr>
          <w:rFonts w:hint="eastAsia"/>
          <w:lang w:eastAsia="zh-CN"/>
        </w:rPr>
        <w:t>六</w:t>
      </w:r>
      <w:r>
        <w:rPr>
          <w:rFonts w:hint="eastAsia"/>
        </w:rPr>
        <w:t>年三月</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2419E">
    <w:pPr>
      <w:pStyle w:val="5"/>
      <w:jc w:val="center"/>
    </w:pPr>
    <w:r>
      <w:fldChar w:fldCharType="begin"/>
    </w:r>
    <w:r>
      <w:instrText xml:space="preserve">PAGE   \* MERGEFORMAT</w:instrText>
    </w:r>
    <w:r>
      <w:fldChar w:fldCharType="separate"/>
    </w:r>
    <w:r>
      <w:rPr>
        <w:lang w:val="zh-CN"/>
      </w:rPr>
      <w:t>7</w:t>
    </w:r>
    <w:r>
      <w:fldChar w:fldCharType="end"/>
    </w:r>
  </w:p>
  <w:p w14:paraId="5A26DF0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ODdhMmI1NGQ4MjlkYTQ2MzVjYWVjMTNmOGFjZTUifQ=="/>
  </w:docVars>
  <w:rsids>
    <w:rsidRoot w:val="00904085"/>
    <w:rsid w:val="00000FD7"/>
    <w:rsid w:val="0000386D"/>
    <w:rsid w:val="000040F9"/>
    <w:rsid w:val="000115CE"/>
    <w:rsid w:val="000140BB"/>
    <w:rsid w:val="00016CA8"/>
    <w:rsid w:val="00017582"/>
    <w:rsid w:val="00021319"/>
    <w:rsid w:val="00027D17"/>
    <w:rsid w:val="00037066"/>
    <w:rsid w:val="00041CFA"/>
    <w:rsid w:val="0004277E"/>
    <w:rsid w:val="00056B1C"/>
    <w:rsid w:val="00057659"/>
    <w:rsid w:val="000577EF"/>
    <w:rsid w:val="0006595A"/>
    <w:rsid w:val="00070ACC"/>
    <w:rsid w:val="0007784C"/>
    <w:rsid w:val="0008433E"/>
    <w:rsid w:val="00084FC1"/>
    <w:rsid w:val="00087371"/>
    <w:rsid w:val="000A4F28"/>
    <w:rsid w:val="000A7CB0"/>
    <w:rsid w:val="000D308C"/>
    <w:rsid w:val="000E6DE8"/>
    <w:rsid w:val="000F295C"/>
    <w:rsid w:val="0010426A"/>
    <w:rsid w:val="00106913"/>
    <w:rsid w:val="00122F88"/>
    <w:rsid w:val="00133879"/>
    <w:rsid w:val="00135AAB"/>
    <w:rsid w:val="00137AE8"/>
    <w:rsid w:val="0014590D"/>
    <w:rsid w:val="00150EC9"/>
    <w:rsid w:val="0015643A"/>
    <w:rsid w:val="001669FE"/>
    <w:rsid w:val="0017198E"/>
    <w:rsid w:val="001726FF"/>
    <w:rsid w:val="00176940"/>
    <w:rsid w:val="001848D0"/>
    <w:rsid w:val="00192417"/>
    <w:rsid w:val="00192542"/>
    <w:rsid w:val="00194CDB"/>
    <w:rsid w:val="001A7147"/>
    <w:rsid w:val="001B1E9F"/>
    <w:rsid w:val="001B5D64"/>
    <w:rsid w:val="001D1F18"/>
    <w:rsid w:val="001D6BBC"/>
    <w:rsid w:val="001E52C2"/>
    <w:rsid w:val="001E7A5A"/>
    <w:rsid w:val="00201051"/>
    <w:rsid w:val="00201095"/>
    <w:rsid w:val="00213704"/>
    <w:rsid w:val="00216CF3"/>
    <w:rsid w:val="00224079"/>
    <w:rsid w:val="0023303E"/>
    <w:rsid w:val="00237CF1"/>
    <w:rsid w:val="00244DE0"/>
    <w:rsid w:val="00253026"/>
    <w:rsid w:val="00256329"/>
    <w:rsid w:val="00262A2E"/>
    <w:rsid w:val="002655A4"/>
    <w:rsid w:val="0027162C"/>
    <w:rsid w:val="00275802"/>
    <w:rsid w:val="0027792C"/>
    <w:rsid w:val="002819E1"/>
    <w:rsid w:val="002843EF"/>
    <w:rsid w:val="00293752"/>
    <w:rsid w:val="00293FF3"/>
    <w:rsid w:val="002B51BF"/>
    <w:rsid w:val="002C0B21"/>
    <w:rsid w:val="002C0FB7"/>
    <w:rsid w:val="002C3A6E"/>
    <w:rsid w:val="002D50B5"/>
    <w:rsid w:val="002E3914"/>
    <w:rsid w:val="002E3BE5"/>
    <w:rsid w:val="002E49BD"/>
    <w:rsid w:val="002E7494"/>
    <w:rsid w:val="002F1718"/>
    <w:rsid w:val="003022BF"/>
    <w:rsid w:val="00303B6F"/>
    <w:rsid w:val="00304A1C"/>
    <w:rsid w:val="0031442D"/>
    <w:rsid w:val="00322664"/>
    <w:rsid w:val="00324D8A"/>
    <w:rsid w:val="00325E2D"/>
    <w:rsid w:val="003266E2"/>
    <w:rsid w:val="00326F01"/>
    <w:rsid w:val="003369AD"/>
    <w:rsid w:val="00341477"/>
    <w:rsid w:val="00345E70"/>
    <w:rsid w:val="00346D96"/>
    <w:rsid w:val="00346EC0"/>
    <w:rsid w:val="003570F2"/>
    <w:rsid w:val="00362C1E"/>
    <w:rsid w:val="00371098"/>
    <w:rsid w:val="00373F04"/>
    <w:rsid w:val="003755B7"/>
    <w:rsid w:val="00376A62"/>
    <w:rsid w:val="00377063"/>
    <w:rsid w:val="003804F4"/>
    <w:rsid w:val="00380570"/>
    <w:rsid w:val="00382FB1"/>
    <w:rsid w:val="00384297"/>
    <w:rsid w:val="0038762F"/>
    <w:rsid w:val="0039643B"/>
    <w:rsid w:val="00396576"/>
    <w:rsid w:val="003A5696"/>
    <w:rsid w:val="003A7B3B"/>
    <w:rsid w:val="003B0405"/>
    <w:rsid w:val="003B29BF"/>
    <w:rsid w:val="003C260A"/>
    <w:rsid w:val="003C684E"/>
    <w:rsid w:val="003C70A6"/>
    <w:rsid w:val="003E1C55"/>
    <w:rsid w:val="003E370F"/>
    <w:rsid w:val="00402E73"/>
    <w:rsid w:val="004039D0"/>
    <w:rsid w:val="0041141D"/>
    <w:rsid w:val="00432E77"/>
    <w:rsid w:val="004352A7"/>
    <w:rsid w:val="00437C8C"/>
    <w:rsid w:val="00441901"/>
    <w:rsid w:val="00442D39"/>
    <w:rsid w:val="00444C3A"/>
    <w:rsid w:val="004461F0"/>
    <w:rsid w:val="00450757"/>
    <w:rsid w:val="00454418"/>
    <w:rsid w:val="00454F3B"/>
    <w:rsid w:val="00456FCB"/>
    <w:rsid w:val="0046466C"/>
    <w:rsid w:val="00470802"/>
    <w:rsid w:val="004801B2"/>
    <w:rsid w:val="004802F4"/>
    <w:rsid w:val="00484E1F"/>
    <w:rsid w:val="00491B9F"/>
    <w:rsid w:val="004960D5"/>
    <w:rsid w:val="00497A61"/>
    <w:rsid w:val="004A0B46"/>
    <w:rsid w:val="004A6882"/>
    <w:rsid w:val="004B1C5F"/>
    <w:rsid w:val="004B4753"/>
    <w:rsid w:val="004B62A3"/>
    <w:rsid w:val="004C5948"/>
    <w:rsid w:val="004D0FD5"/>
    <w:rsid w:val="004D6849"/>
    <w:rsid w:val="004E0565"/>
    <w:rsid w:val="004E4E6C"/>
    <w:rsid w:val="004F107C"/>
    <w:rsid w:val="004F16B7"/>
    <w:rsid w:val="00501B14"/>
    <w:rsid w:val="005128D3"/>
    <w:rsid w:val="00512B97"/>
    <w:rsid w:val="00514938"/>
    <w:rsid w:val="0053180C"/>
    <w:rsid w:val="00532AF5"/>
    <w:rsid w:val="0054303E"/>
    <w:rsid w:val="00545C58"/>
    <w:rsid w:val="0055506F"/>
    <w:rsid w:val="00555CD8"/>
    <w:rsid w:val="00556258"/>
    <w:rsid w:val="005611D0"/>
    <w:rsid w:val="00562FBA"/>
    <w:rsid w:val="00564EBC"/>
    <w:rsid w:val="00565C86"/>
    <w:rsid w:val="00567217"/>
    <w:rsid w:val="0057090F"/>
    <w:rsid w:val="00585216"/>
    <w:rsid w:val="0058642B"/>
    <w:rsid w:val="005867B4"/>
    <w:rsid w:val="00591868"/>
    <w:rsid w:val="00594866"/>
    <w:rsid w:val="005A1A5A"/>
    <w:rsid w:val="005A2C0B"/>
    <w:rsid w:val="005A45D2"/>
    <w:rsid w:val="005B1465"/>
    <w:rsid w:val="005B3577"/>
    <w:rsid w:val="005B52B3"/>
    <w:rsid w:val="005C0EC5"/>
    <w:rsid w:val="005D480C"/>
    <w:rsid w:val="005D5339"/>
    <w:rsid w:val="005E5E94"/>
    <w:rsid w:val="005F0481"/>
    <w:rsid w:val="005F269C"/>
    <w:rsid w:val="005F4302"/>
    <w:rsid w:val="00604444"/>
    <w:rsid w:val="0060470C"/>
    <w:rsid w:val="0060505C"/>
    <w:rsid w:val="0060776D"/>
    <w:rsid w:val="00613C93"/>
    <w:rsid w:val="00615232"/>
    <w:rsid w:val="00620850"/>
    <w:rsid w:val="0062162E"/>
    <w:rsid w:val="00623240"/>
    <w:rsid w:val="0062504B"/>
    <w:rsid w:val="00625FE4"/>
    <w:rsid w:val="00644F3A"/>
    <w:rsid w:val="00647F26"/>
    <w:rsid w:val="00652D51"/>
    <w:rsid w:val="00652E91"/>
    <w:rsid w:val="00667A0C"/>
    <w:rsid w:val="006706B0"/>
    <w:rsid w:val="006754F1"/>
    <w:rsid w:val="00684ADA"/>
    <w:rsid w:val="00685077"/>
    <w:rsid w:val="006860D0"/>
    <w:rsid w:val="00691599"/>
    <w:rsid w:val="006A27FB"/>
    <w:rsid w:val="006A2BDF"/>
    <w:rsid w:val="006A6A7E"/>
    <w:rsid w:val="006B1F7F"/>
    <w:rsid w:val="006C1202"/>
    <w:rsid w:val="006C1B3F"/>
    <w:rsid w:val="006C6215"/>
    <w:rsid w:val="006C6428"/>
    <w:rsid w:val="006C6614"/>
    <w:rsid w:val="006C6FB9"/>
    <w:rsid w:val="006D0D96"/>
    <w:rsid w:val="006D1EB1"/>
    <w:rsid w:val="006E5A6B"/>
    <w:rsid w:val="006E6DC9"/>
    <w:rsid w:val="007046A0"/>
    <w:rsid w:val="00706EF9"/>
    <w:rsid w:val="0070792D"/>
    <w:rsid w:val="00716544"/>
    <w:rsid w:val="00725E57"/>
    <w:rsid w:val="00727183"/>
    <w:rsid w:val="00737AE3"/>
    <w:rsid w:val="00737D5B"/>
    <w:rsid w:val="00756967"/>
    <w:rsid w:val="007624F0"/>
    <w:rsid w:val="00764910"/>
    <w:rsid w:val="00765E2A"/>
    <w:rsid w:val="007664AA"/>
    <w:rsid w:val="0078040C"/>
    <w:rsid w:val="007816E1"/>
    <w:rsid w:val="007A0B97"/>
    <w:rsid w:val="007A6C74"/>
    <w:rsid w:val="007B4976"/>
    <w:rsid w:val="007B5BD3"/>
    <w:rsid w:val="007C5D72"/>
    <w:rsid w:val="007C6219"/>
    <w:rsid w:val="007E09AF"/>
    <w:rsid w:val="007E707D"/>
    <w:rsid w:val="007F280B"/>
    <w:rsid w:val="007F3801"/>
    <w:rsid w:val="008014F3"/>
    <w:rsid w:val="00801B8F"/>
    <w:rsid w:val="00812E0A"/>
    <w:rsid w:val="00815991"/>
    <w:rsid w:val="00817660"/>
    <w:rsid w:val="00831948"/>
    <w:rsid w:val="00832F4C"/>
    <w:rsid w:val="00834368"/>
    <w:rsid w:val="008379F9"/>
    <w:rsid w:val="00844213"/>
    <w:rsid w:val="008529DD"/>
    <w:rsid w:val="00853E47"/>
    <w:rsid w:val="00855A2A"/>
    <w:rsid w:val="00856E7E"/>
    <w:rsid w:val="00862359"/>
    <w:rsid w:val="00862C3C"/>
    <w:rsid w:val="0087179A"/>
    <w:rsid w:val="008770DA"/>
    <w:rsid w:val="0087785F"/>
    <w:rsid w:val="00886D9C"/>
    <w:rsid w:val="00887CD8"/>
    <w:rsid w:val="008A049C"/>
    <w:rsid w:val="008A3864"/>
    <w:rsid w:val="008A6F37"/>
    <w:rsid w:val="008B2694"/>
    <w:rsid w:val="008B5301"/>
    <w:rsid w:val="008D4EA3"/>
    <w:rsid w:val="008D6041"/>
    <w:rsid w:val="008E2A04"/>
    <w:rsid w:val="008E42DD"/>
    <w:rsid w:val="00904085"/>
    <w:rsid w:val="0090462B"/>
    <w:rsid w:val="00904F4D"/>
    <w:rsid w:val="00906DDE"/>
    <w:rsid w:val="00914F4E"/>
    <w:rsid w:val="00920BAD"/>
    <w:rsid w:val="00921585"/>
    <w:rsid w:val="009231D3"/>
    <w:rsid w:val="009238E9"/>
    <w:rsid w:val="00924BAD"/>
    <w:rsid w:val="009255E6"/>
    <w:rsid w:val="00931C7A"/>
    <w:rsid w:val="00933061"/>
    <w:rsid w:val="00942D52"/>
    <w:rsid w:val="00952078"/>
    <w:rsid w:val="00953525"/>
    <w:rsid w:val="00953C4F"/>
    <w:rsid w:val="0095698A"/>
    <w:rsid w:val="00962E50"/>
    <w:rsid w:val="00964227"/>
    <w:rsid w:val="00966E65"/>
    <w:rsid w:val="0097024D"/>
    <w:rsid w:val="00971A68"/>
    <w:rsid w:val="009907C1"/>
    <w:rsid w:val="00995726"/>
    <w:rsid w:val="009A09C9"/>
    <w:rsid w:val="009B6BA6"/>
    <w:rsid w:val="009C7678"/>
    <w:rsid w:val="00A05A16"/>
    <w:rsid w:val="00A06D63"/>
    <w:rsid w:val="00A150FD"/>
    <w:rsid w:val="00A20AA0"/>
    <w:rsid w:val="00A2434C"/>
    <w:rsid w:val="00A24C16"/>
    <w:rsid w:val="00A27174"/>
    <w:rsid w:val="00A3318D"/>
    <w:rsid w:val="00A37F4C"/>
    <w:rsid w:val="00A43848"/>
    <w:rsid w:val="00A51660"/>
    <w:rsid w:val="00A532DB"/>
    <w:rsid w:val="00A575B0"/>
    <w:rsid w:val="00A57899"/>
    <w:rsid w:val="00A60410"/>
    <w:rsid w:val="00A6122D"/>
    <w:rsid w:val="00A669CB"/>
    <w:rsid w:val="00A712AD"/>
    <w:rsid w:val="00A90ECF"/>
    <w:rsid w:val="00A91474"/>
    <w:rsid w:val="00A94423"/>
    <w:rsid w:val="00A9793A"/>
    <w:rsid w:val="00AA69F1"/>
    <w:rsid w:val="00AB1576"/>
    <w:rsid w:val="00AB7803"/>
    <w:rsid w:val="00AC091E"/>
    <w:rsid w:val="00AD40BC"/>
    <w:rsid w:val="00AD42A6"/>
    <w:rsid w:val="00AD5A86"/>
    <w:rsid w:val="00AD6963"/>
    <w:rsid w:val="00AE03AD"/>
    <w:rsid w:val="00AE4DAD"/>
    <w:rsid w:val="00AE7819"/>
    <w:rsid w:val="00AE7CCD"/>
    <w:rsid w:val="00AF5DB1"/>
    <w:rsid w:val="00B020EA"/>
    <w:rsid w:val="00B10C7F"/>
    <w:rsid w:val="00B111A6"/>
    <w:rsid w:val="00B16764"/>
    <w:rsid w:val="00B17315"/>
    <w:rsid w:val="00B17675"/>
    <w:rsid w:val="00B32C7A"/>
    <w:rsid w:val="00B3319E"/>
    <w:rsid w:val="00B372B3"/>
    <w:rsid w:val="00B43B80"/>
    <w:rsid w:val="00B60417"/>
    <w:rsid w:val="00B760E8"/>
    <w:rsid w:val="00B80864"/>
    <w:rsid w:val="00B81CBD"/>
    <w:rsid w:val="00B87F63"/>
    <w:rsid w:val="00B96796"/>
    <w:rsid w:val="00BC00A7"/>
    <w:rsid w:val="00BC2A26"/>
    <w:rsid w:val="00BC58FD"/>
    <w:rsid w:val="00BD046A"/>
    <w:rsid w:val="00BD7197"/>
    <w:rsid w:val="00BE19FA"/>
    <w:rsid w:val="00BE4B7E"/>
    <w:rsid w:val="00BF221F"/>
    <w:rsid w:val="00C0061A"/>
    <w:rsid w:val="00C05627"/>
    <w:rsid w:val="00C06D86"/>
    <w:rsid w:val="00C0792E"/>
    <w:rsid w:val="00C07FF7"/>
    <w:rsid w:val="00C21D3D"/>
    <w:rsid w:val="00C233FE"/>
    <w:rsid w:val="00C35EF0"/>
    <w:rsid w:val="00C4684D"/>
    <w:rsid w:val="00C52481"/>
    <w:rsid w:val="00C536D7"/>
    <w:rsid w:val="00C57DAE"/>
    <w:rsid w:val="00C72831"/>
    <w:rsid w:val="00C770BF"/>
    <w:rsid w:val="00C7740E"/>
    <w:rsid w:val="00C81CA3"/>
    <w:rsid w:val="00C83CF9"/>
    <w:rsid w:val="00C8539B"/>
    <w:rsid w:val="00C85E34"/>
    <w:rsid w:val="00C872FA"/>
    <w:rsid w:val="00C91D8A"/>
    <w:rsid w:val="00CA24D9"/>
    <w:rsid w:val="00CB04B2"/>
    <w:rsid w:val="00CB4A2C"/>
    <w:rsid w:val="00CB611E"/>
    <w:rsid w:val="00CB7170"/>
    <w:rsid w:val="00CC1489"/>
    <w:rsid w:val="00CC63A1"/>
    <w:rsid w:val="00CD0B03"/>
    <w:rsid w:val="00CE3B0A"/>
    <w:rsid w:val="00CE74A3"/>
    <w:rsid w:val="00CF0071"/>
    <w:rsid w:val="00D02463"/>
    <w:rsid w:val="00D07131"/>
    <w:rsid w:val="00D159AD"/>
    <w:rsid w:val="00D16D70"/>
    <w:rsid w:val="00D17E13"/>
    <w:rsid w:val="00D36DD2"/>
    <w:rsid w:val="00D40998"/>
    <w:rsid w:val="00D555B1"/>
    <w:rsid w:val="00D629CF"/>
    <w:rsid w:val="00D65AE4"/>
    <w:rsid w:val="00D733E8"/>
    <w:rsid w:val="00D73AAF"/>
    <w:rsid w:val="00D84ADB"/>
    <w:rsid w:val="00D862D5"/>
    <w:rsid w:val="00D918B7"/>
    <w:rsid w:val="00D95255"/>
    <w:rsid w:val="00D95287"/>
    <w:rsid w:val="00D95479"/>
    <w:rsid w:val="00DA43CE"/>
    <w:rsid w:val="00DA4FF0"/>
    <w:rsid w:val="00DA7B89"/>
    <w:rsid w:val="00DB0DE2"/>
    <w:rsid w:val="00DB3242"/>
    <w:rsid w:val="00DB6BAF"/>
    <w:rsid w:val="00DB6F5C"/>
    <w:rsid w:val="00DC1706"/>
    <w:rsid w:val="00DC1B4D"/>
    <w:rsid w:val="00DC2429"/>
    <w:rsid w:val="00DC6B0F"/>
    <w:rsid w:val="00DD0516"/>
    <w:rsid w:val="00DD1465"/>
    <w:rsid w:val="00DD3B0C"/>
    <w:rsid w:val="00DE5C50"/>
    <w:rsid w:val="00DF13DB"/>
    <w:rsid w:val="00DF58B1"/>
    <w:rsid w:val="00E03793"/>
    <w:rsid w:val="00E1093A"/>
    <w:rsid w:val="00E11166"/>
    <w:rsid w:val="00E13EA2"/>
    <w:rsid w:val="00E148F3"/>
    <w:rsid w:val="00E34BE1"/>
    <w:rsid w:val="00E41888"/>
    <w:rsid w:val="00E527D2"/>
    <w:rsid w:val="00E54AE0"/>
    <w:rsid w:val="00E54B04"/>
    <w:rsid w:val="00E566FC"/>
    <w:rsid w:val="00E57447"/>
    <w:rsid w:val="00E67814"/>
    <w:rsid w:val="00E67D9D"/>
    <w:rsid w:val="00E7083C"/>
    <w:rsid w:val="00E70A52"/>
    <w:rsid w:val="00E711C7"/>
    <w:rsid w:val="00E72E68"/>
    <w:rsid w:val="00E77DC8"/>
    <w:rsid w:val="00E92103"/>
    <w:rsid w:val="00E9251F"/>
    <w:rsid w:val="00E96328"/>
    <w:rsid w:val="00E9667F"/>
    <w:rsid w:val="00E96BA4"/>
    <w:rsid w:val="00EB0181"/>
    <w:rsid w:val="00EB5033"/>
    <w:rsid w:val="00EB5199"/>
    <w:rsid w:val="00EB51ED"/>
    <w:rsid w:val="00EB62DC"/>
    <w:rsid w:val="00EC46E5"/>
    <w:rsid w:val="00EC5766"/>
    <w:rsid w:val="00EC73E5"/>
    <w:rsid w:val="00ED6EE6"/>
    <w:rsid w:val="00EF0509"/>
    <w:rsid w:val="00EF1577"/>
    <w:rsid w:val="00EF4184"/>
    <w:rsid w:val="00EF4BEB"/>
    <w:rsid w:val="00EF5FC1"/>
    <w:rsid w:val="00EF6A7D"/>
    <w:rsid w:val="00F00227"/>
    <w:rsid w:val="00F03CA9"/>
    <w:rsid w:val="00F044D4"/>
    <w:rsid w:val="00F05E7F"/>
    <w:rsid w:val="00F10CFD"/>
    <w:rsid w:val="00F162CD"/>
    <w:rsid w:val="00F200D2"/>
    <w:rsid w:val="00F20363"/>
    <w:rsid w:val="00F26ECB"/>
    <w:rsid w:val="00F313DE"/>
    <w:rsid w:val="00F316CA"/>
    <w:rsid w:val="00F32081"/>
    <w:rsid w:val="00F33C71"/>
    <w:rsid w:val="00F353AF"/>
    <w:rsid w:val="00F37BDD"/>
    <w:rsid w:val="00F44013"/>
    <w:rsid w:val="00F5155A"/>
    <w:rsid w:val="00F536A8"/>
    <w:rsid w:val="00F54B7E"/>
    <w:rsid w:val="00F55AEC"/>
    <w:rsid w:val="00F62391"/>
    <w:rsid w:val="00F64AEE"/>
    <w:rsid w:val="00F71674"/>
    <w:rsid w:val="00F765B2"/>
    <w:rsid w:val="00F773B9"/>
    <w:rsid w:val="00F80C3D"/>
    <w:rsid w:val="00F97A28"/>
    <w:rsid w:val="00FA450A"/>
    <w:rsid w:val="00FB4487"/>
    <w:rsid w:val="00FB5196"/>
    <w:rsid w:val="00FB74A6"/>
    <w:rsid w:val="00FB7623"/>
    <w:rsid w:val="00FD0EC5"/>
    <w:rsid w:val="00FD210A"/>
    <w:rsid w:val="00FD351C"/>
    <w:rsid w:val="00FD36B7"/>
    <w:rsid w:val="00FD48C4"/>
    <w:rsid w:val="00FE1BB4"/>
    <w:rsid w:val="00FE317C"/>
    <w:rsid w:val="00FE3C61"/>
    <w:rsid w:val="00FF3FF9"/>
    <w:rsid w:val="02FE450E"/>
    <w:rsid w:val="04F6005C"/>
    <w:rsid w:val="05136181"/>
    <w:rsid w:val="0593655B"/>
    <w:rsid w:val="072077AA"/>
    <w:rsid w:val="07821FCC"/>
    <w:rsid w:val="07C20FA2"/>
    <w:rsid w:val="0A6307F6"/>
    <w:rsid w:val="0BB5478D"/>
    <w:rsid w:val="0CF6771B"/>
    <w:rsid w:val="0DC1407D"/>
    <w:rsid w:val="0E531514"/>
    <w:rsid w:val="113B0B19"/>
    <w:rsid w:val="12FC6E20"/>
    <w:rsid w:val="140C1DD0"/>
    <w:rsid w:val="159A54E8"/>
    <w:rsid w:val="173D52E6"/>
    <w:rsid w:val="17407726"/>
    <w:rsid w:val="17BC53F4"/>
    <w:rsid w:val="1927402B"/>
    <w:rsid w:val="1EB1540B"/>
    <w:rsid w:val="243948BB"/>
    <w:rsid w:val="24490420"/>
    <w:rsid w:val="244E5EF4"/>
    <w:rsid w:val="24AE515F"/>
    <w:rsid w:val="24B37C49"/>
    <w:rsid w:val="24E66BF0"/>
    <w:rsid w:val="260D586D"/>
    <w:rsid w:val="2620450B"/>
    <w:rsid w:val="26910DFD"/>
    <w:rsid w:val="27CC2BDC"/>
    <w:rsid w:val="28BB5EEC"/>
    <w:rsid w:val="28CA6348"/>
    <w:rsid w:val="2AEF2177"/>
    <w:rsid w:val="2C5D748F"/>
    <w:rsid w:val="2CF471A3"/>
    <w:rsid w:val="2D5945B6"/>
    <w:rsid w:val="2E426A62"/>
    <w:rsid w:val="2E8F4BF6"/>
    <w:rsid w:val="2F31475C"/>
    <w:rsid w:val="2F5A3265"/>
    <w:rsid w:val="2F9368EB"/>
    <w:rsid w:val="3073005C"/>
    <w:rsid w:val="30897B67"/>
    <w:rsid w:val="321512AC"/>
    <w:rsid w:val="33681AA0"/>
    <w:rsid w:val="34F41C34"/>
    <w:rsid w:val="362C0724"/>
    <w:rsid w:val="36B86D74"/>
    <w:rsid w:val="36F4760B"/>
    <w:rsid w:val="38306CFC"/>
    <w:rsid w:val="38D74E7A"/>
    <w:rsid w:val="3B9B1417"/>
    <w:rsid w:val="3CB43221"/>
    <w:rsid w:val="3CC2150A"/>
    <w:rsid w:val="3F7B0739"/>
    <w:rsid w:val="401D7A68"/>
    <w:rsid w:val="409F1AF2"/>
    <w:rsid w:val="40A35485"/>
    <w:rsid w:val="419B1284"/>
    <w:rsid w:val="45260C1B"/>
    <w:rsid w:val="454019F4"/>
    <w:rsid w:val="45E635C0"/>
    <w:rsid w:val="46540183"/>
    <w:rsid w:val="46B81B60"/>
    <w:rsid w:val="47BF0C19"/>
    <w:rsid w:val="47FC4313"/>
    <w:rsid w:val="4894392C"/>
    <w:rsid w:val="497C72F3"/>
    <w:rsid w:val="4A7C3335"/>
    <w:rsid w:val="511856D5"/>
    <w:rsid w:val="53107EED"/>
    <w:rsid w:val="53845ED9"/>
    <w:rsid w:val="56C23CF5"/>
    <w:rsid w:val="582329D9"/>
    <w:rsid w:val="59CD4D46"/>
    <w:rsid w:val="5B93255F"/>
    <w:rsid w:val="5C5478AB"/>
    <w:rsid w:val="5D625A1E"/>
    <w:rsid w:val="60D14BE6"/>
    <w:rsid w:val="614B4B00"/>
    <w:rsid w:val="62C70C5B"/>
    <w:rsid w:val="64C2083D"/>
    <w:rsid w:val="64D41688"/>
    <w:rsid w:val="64FF0F9D"/>
    <w:rsid w:val="6805276A"/>
    <w:rsid w:val="68581456"/>
    <w:rsid w:val="68CA1553"/>
    <w:rsid w:val="69C81241"/>
    <w:rsid w:val="6A9A5C3C"/>
    <w:rsid w:val="6AB57C82"/>
    <w:rsid w:val="6CFC6398"/>
    <w:rsid w:val="6D245825"/>
    <w:rsid w:val="6E594199"/>
    <w:rsid w:val="6FAD018E"/>
    <w:rsid w:val="70FE0509"/>
    <w:rsid w:val="71656CCF"/>
    <w:rsid w:val="72005BAD"/>
    <w:rsid w:val="727F3AB8"/>
    <w:rsid w:val="72B66CB8"/>
    <w:rsid w:val="73C6224E"/>
    <w:rsid w:val="74253BE2"/>
    <w:rsid w:val="76465D1D"/>
    <w:rsid w:val="78CC4C98"/>
    <w:rsid w:val="78CF1137"/>
    <w:rsid w:val="78DC27B7"/>
    <w:rsid w:val="79F851D5"/>
    <w:rsid w:val="7C541407"/>
    <w:rsid w:val="7EE2719E"/>
    <w:rsid w:val="7F603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1"/>
    <w:autoRedefine/>
    <w:qFormat/>
    <w:uiPriority w:val="9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unhideWhenUsed/>
    <w:qFormat/>
    <w:uiPriority w:val="99"/>
    <w:pPr>
      <w:jc w:val="left"/>
    </w:pPr>
  </w:style>
  <w:style w:type="paragraph" w:styleId="4">
    <w:name w:val="Balloon Text"/>
    <w:basedOn w:val="1"/>
    <w:link w:val="12"/>
    <w:autoRedefine/>
    <w:unhideWhenUsed/>
    <w:qFormat/>
    <w:uiPriority w:val="99"/>
    <w:rPr>
      <w:sz w:val="18"/>
      <w:szCs w:val="18"/>
    </w:rPr>
  </w:style>
  <w:style w:type="paragraph" w:styleId="5">
    <w:name w:val="footer"/>
    <w:basedOn w:val="1"/>
    <w:link w:val="13"/>
    <w:autoRedefine/>
    <w:qFormat/>
    <w:uiPriority w:val="99"/>
    <w:pPr>
      <w:tabs>
        <w:tab w:val="center" w:pos="4153"/>
        <w:tab w:val="right" w:pos="8306"/>
      </w:tabs>
      <w:snapToGrid w:val="0"/>
      <w:jc w:val="left"/>
    </w:pPr>
    <w:rPr>
      <w:kern w:val="0"/>
      <w:sz w:val="18"/>
      <w:szCs w:val="18"/>
    </w:rPr>
  </w:style>
  <w:style w:type="paragraph" w:styleId="6">
    <w:name w:val="header"/>
    <w:basedOn w:val="1"/>
    <w:link w:val="14"/>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autoRedefine/>
    <w:qFormat/>
    <w:uiPriority w:val="0"/>
    <w:pPr>
      <w:spacing w:beforeAutospacing="1" w:afterAutospacing="1"/>
      <w:jc w:val="left"/>
    </w:pPr>
    <w:rPr>
      <w:rFonts w:ascii="Calibri" w:hAnsi="Calibri"/>
      <w:kern w:val="0"/>
      <w:sz w:val="24"/>
      <w:szCs w:val="24"/>
    </w:rPr>
  </w:style>
  <w:style w:type="table" w:styleId="9">
    <w:name w:val="Table Grid"/>
    <w:basedOn w:val="8"/>
    <w:autoRedefine/>
    <w:qFormat/>
    <w:locked/>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link w:val="2"/>
    <w:autoRedefine/>
    <w:qFormat/>
    <w:locked/>
    <w:uiPriority w:val="99"/>
    <w:rPr>
      <w:rFonts w:ascii="Times New Roman" w:hAnsi="Times New Roman" w:eastAsia="宋体" w:cs="Times New Roman"/>
      <w:b/>
      <w:bCs/>
      <w:kern w:val="44"/>
      <w:sz w:val="44"/>
      <w:szCs w:val="44"/>
    </w:rPr>
  </w:style>
  <w:style w:type="character" w:customStyle="1" w:styleId="12">
    <w:name w:val="批注框文本 Char"/>
    <w:link w:val="4"/>
    <w:autoRedefine/>
    <w:semiHidden/>
    <w:qFormat/>
    <w:uiPriority w:val="99"/>
    <w:rPr>
      <w:rFonts w:ascii="Times New Roman" w:hAnsi="Times New Roman"/>
      <w:kern w:val="2"/>
      <w:sz w:val="18"/>
      <w:szCs w:val="18"/>
    </w:rPr>
  </w:style>
  <w:style w:type="character" w:customStyle="1" w:styleId="13">
    <w:name w:val="页脚 Char"/>
    <w:link w:val="5"/>
    <w:autoRedefine/>
    <w:qFormat/>
    <w:locked/>
    <w:uiPriority w:val="99"/>
    <w:rPr>
      <w:rFonts w:ascii="Times New Roman" w:hAnsi="Times New Roman" w:eastAsia="宋体" w:cs="Times New Roman"/>
      <w:sz w:val="18"/>
      <w:szCs w:val="18"/>
    </w:rPr>
  </w:style>
  <w:style w:type="character" w:customStyle="1" w:styleId="14">
    <w:name w:val="页眉 Char"/>
    <w:link w:val="6"/>
    <w:autoRedefine/>
    <w:qFormat/>
    <w:locked/>
    <w:uiPriority w:val="99"/>
    <w:rPr>
      <w:rFonts w:ascii="Times New Roman" w:hAnsi="Times New Roman" w:eastAsia="宋体" w:cs="Times New Roman"/>
      <w:sz w:val="18"/>
      <w:szCs w:val="18"/>
    </w:rPr>
  </w:style>
  <w:style w:type="paragraph" w:customStyle="1" w:styleId="15">
    <w:name w:val="Char1"/>
    <w:basedOn w:val="2"/>
    <w:autoRedefine/>
    <w:qFormat/>
    <w:uiPriority w:val="99"/>
    <w:pPr>
      <w:snapToGrid w:val="0"/>
      <w:spacing w:before="240" w:after="240" w:line="348" w:lineRule="auto"/>
    </w:pPr>
    <w:rPr>
      <w:rFonts w:ascii="Tahoma" w:hAnsi="Tahoma" w:cs="Tahoma"/>
      <w:kern w:val="2"/>
      <w:sz w:val="24"/>
      <w:szCs w:val="24"/>
    </w:rPr>
  </w:style>
  <w:style w:type="paragraph" w:customStyle="1" w:styleId="16">
    <w:name w:val="Char Char2"/>
    <w:basedOn w:val="2"/>
    <w:autoRedefine/>
    <w:qFormat/>
    <w:uiPriority w:val="0"/>
    <w:pPr>
      <w:snapToGrid w:val="0"/>
      <w:spacing w:before="240" w:after="240" w:line="348" w:lineRule="auto"/>
    </w:pPr>
    <w:rPr>
      <w:rFonts w:ascii="Tahoma" w:hAnsi="Tahoma"/>
      <w:bCs w:val="0"/>
      <w:kern w:val="2"/>
      <w:sz w:val="24"/>
      <w:szCs w:val="20"/>
    </w:rPr>
  </w:style>
  <w:style w:type="paragraph" w:styleId="17">
    <w:name w:val="List Paragraph"/>
    <w:basedOn w:val="1"/>
    <w:autoRedefine/>
    <w:qFormat/>
    <w:uiPriority w:val="0"/>
    <w:pPr>
      <w:ind w:firstLine="420" w:firstLineChars="200"/>
    </w:pPr>
    <w:rPr>
      <w:rFonts w:ascii="Calibri" w:hAnsi="Calibri"/>
      <w:szCs w:val="22"/>
    </w:rPr>
  </w:style>
  <w:style w:type="character" w:customStyle="1" w:styleId="18">
    <w:name w:val="font11"/>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7290E-3096-414A-BE67-8B49FC560CE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6047</Words>
  <Characters>6172</Characters>
  <Lines>50</Lines>
  <Paragraphs>14</Paragraphs>
  <TotalTime>1</TotalTime>
  <ScaleCrop>false</ScaleCrop>
  <LinksUpToDate>false</LinksUpToDate>
  <CharactersWithSpaces>6290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2021-04-09T02:49:00Z</dcterms:created>
  <dc:creator>付志荣</dc:creator>
  <cp:lastModifiedBy>WPS_1664350985</cp:lastModifiedBy>
  <cp:lastPrinted>2025-03-05T07:09:00Z</cp:lastPrinted>
  <dcterms:modified xsi:type="dcterms:W3CDTF">2026-03-02T09:01:32Z</dcterms:modified>
  <dc:title>机械与车辆工程学院2017年度工作目标责任书</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7B9E73D1E9F14EA284DF2865E845C4D5_13</vt:lpwstr>
  </property>
  <property fmtid="{D5CDD505-2E9C-101B-9397-08002B2CF9AE}" pid="4" name="KSOTemplateDocerSaveRecord">
    <vt:lpwstr>eyJoZGlkIjoiYTAwNWRkYjA2Nzk1NmI0NmM3YjRiNGVhZjg1NDdiMDciLCJ1c2VySWQiOiIxNDE1NDU1Mjg5In0=</vt:lpwstr>
  </property>
</Properties>
</file>